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82" w:rsidRDefault="00D75082" w:rsidP="005842ED">
      <w:pPr>
        <w:spacing w:after="0" w:line="360" w:lineRule="auto"/>
        <w:jc w:val="center"/>
        <w:rPr>
          <w:rFonts w:ascii="Tahoma" w:hAnsi="Tahoma" w:cs="Tahoma"/>
          <w:b/>
          <w:color w:val="E36C0A"/>
        </w:rPr>
      </w:pPr>
    </w:p>
    <w:p w:rsidR="00D75082" w:rsidRDefault="00D75082" w:rsidP="005842ED">
      <w:pPr>
        <w:spacing w:after="0" w:line="360" w:lineRule="auto"/>
        <w:jc w:val="center"/>
        <w:rPr>
          <w:rFonts w:ascii="Tahoma" w:hAnsi="Tahoma" w:cs="Tahoma"/>
          <w:b/>
          <w:color w:val="E36C0A"/>
        </w:rPr>
      </w:pPr>
    </w:p>
    <w:p w:rsidR="00C51003" w:rsidRPr="00FC6AF2" w:rsidRDefault="00C51003" w:rsidP="005842ED">
      <w:pPr>
        <w:spacing w:after="0" w:line="360" w:lineRule="auto"/>
        <w:jc w:val="center"/>
        <w:rPr>
          <w:rFonts w:ascii="Tahoma" w:hAnsi="Tahoma" w:cs="Tahoma"/>
          <w:b/>
          <w:color w:val="E36C0A"/>
        </w:rPr>
      </w:pPr>
      <w:r w:rsidRPr="00FC6AF2">
        <w:rPr>
          <w:rFonts w:ascii="Tahoma" w:hAnsi="Tahoma" w:cs="Tahoma"/>
          <w:b/>
          <w:color w:val="E36C0A"/>
        </w:rPr>
        <w:t xml:space="preserve">Zasada równości szans i niedyskryminacji, w tym dostępności dla osób niepełnosprawnych oraz zasada równości szans kobiet i mężczyzn </w:t>
      </w:r>
      <w:r w:rsidRPr="00FC6AF2">
        <w:rPr>
          <w:rFonts w:ascii="Tahoma" w:hAnsi="Tahoma" w:cs="Tahoma"/>
          <w:b/>
          <w:color w:val="E36C0A"/>
        </w:rPr>
        <w:br/>
        <w:t>w ramach funduszy unijnych na lata 2014 – 2020</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Stereotypy i bariery obecne na rynku pracy:</w:t>
      </w:r>
    </w:p>
    <w:p w:rsidR="00C51003" w:rsidRPr="00C51003" w:rsidRDefault="00C51003" w:rsidP="00C51003">
      <w:pPr>
        <w:spacing w:after="0" w:line="360" w:lineRule="auto"/>
        <w:jc w:val="both"/>
        <w:rPr>
          <w:rFonts w:ascii="Tahoma" w:hAnsi="Tahoma" w:cs="Tahoma"/>
          <w:b/>
          <w:color w:val="E36C0A"/>
          <w:sz w:val="20"/>
          <w:szCs w:val="20"/>
          <w:u w:val="single"/>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ze względu na płeć:</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zjawisko segregacji pionowej i poziomej na rynku pracy,</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zjawisko szklanego sufitu,</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feminizacja i maskulinizacja zawodowa,</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związanie kobiecości wyłącznie ze sferą życia domowego,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przeświadczenie pracodawców o niższym niż mężczyzn potencjale kobiet,</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przeświadczenie, iż rola matki w negatywny sposób wpływa na jakość pracy,</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ze względu na posiadanie niepełnosprawności:</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przeświadczenie pracodawców o mniejszej efektywności pracy osób niepełnosprawnych,</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odmowa zatrudnienia osoby niepełnosprawnej ze względu na brak odpowiednich rozwiązań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technicznych w miejscu pracy,</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mniej korzystne traktowanie osób niepełnosprawnych w stosunku do pozostałych pracowników,</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niższe wynagrodzenia,</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ograniczony dostęp do szkoleń i podnoszenia kwalifikacji,</w:t>
      </w:r>
    </w:p>
    <w:p w:rsidR="00C51003" w:rsidRPr="00C51003" w:rsidRDefault="00C51003" w:rsidP="00C51003">
      <w:pPr>
        <w:spacing w:after="0" w:line="360" w:lineRule="auto"/>
        <w:jc w:val="both"/>
        <w:rPr>
          <w:rFonts w:ascii="Tahoma" w:hAnsi="Tahoma" w:cs="Tahoma"/>
          <w:b/>
          <w:sz w:val="20"/>
          <w:szCs w:val="20"/>
          <w:u w:val="single"/>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ze względu na wiek, rasę lub pochodzenie etniczne, wyznawaną religię lub światopogląd, orientację</w:t>
      </w:r>
      <w:r w:rsidR="00593794">
        <w:rPr>
          <w:rFonts w:ascii="Tahoma" w:hAnsi="Tahoma" w:cs="Tahoma"/>
          <w:b/>
          <w:color w:val="E36C0A"/>
          <w:sz w:val="20"/>
          <w:szCs w:val="20"/>
          <w:u w:val="single"/>
        </w:rPr>
        <w:t xml:space="preserve"> </w:t>
      </w:r>
      <w:r w:rsidRPr="00C51003">
        <w:rPr>
          <w:rFonts w:ascii="Tahoma" w:hAnsi="Tahoma" w:cs="Tahoma"/>
          <w:b/>
          <w:color w:val="E36C0A"/>
          <w:sz w:val="20"/>
          <w:szCs w:val="20"/>
          <w:u w:val="single"/>
        </w:rPr>
        <w:t>seksualną:</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przeświadczenie pracodawców o posiadaniu ograniczonych umiejętności zawodowych zarówno w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przypadku dojrzałych jak i młodych pracowników,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dezaktualizacja lub brak kwalifikacji zawodowych w zależności od grupy wiekowej,</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nieawansowanie dojrzałych pracowników,</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gorsze warunki pracy proponowane młodym pracownikom ze względu na brak stażu zawodowego,</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dyskryminacja w zatrudnianiu cudzoziemców, wyznawców innych niż przyjęta w miejscu pracy religii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oraz osób o odmiennej orientacji seksualnej pomimo posiadana równorzędnych kwalifikacji w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odniesieniu do pozostałych pracowników.</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b/>
          <w:sz w:val="20"/>
          <w:szCs w:val="20"/>
          <w:u w:val="single"/>
        </w:rPr>
      </w:pPr>
    </w:p>
    <w:p w:rsidR="00C51003" w:rsidRDefault="00C51003" w:rsidP="00C51003">
      <w:pPr>
        <w:spacing w:after="0" w:line="360" w:lineRule="auto"/>
        <w:jc w:val="both"/>
        <w:rPr>
          <w:rFonts w:ascii="Tahoma" w:hAnsi="Tahoma" w:cs="Tahoma"/>
          <w:b/>
          <w:sz w:val="20"/>
          <w:szCs w:val="20"/>
          <w:u w:val="single"/>
        </w:rPr>
      </w:pPr>
    </w:p>
    <w:p w:rsidR="00FC6AF2" w:rsidRPr="00C51003" w:rsidRDefault="00FC6AF2" w:rsidP="00C51003">
      <w:pPr>
        <w:spacing w:after="0" w:line="360" w:lineRule="auto"/>
        <w:jc w:val="both"/>
        <w:rPr>
          <w:rFonts w:ascii="Tahoma" w:hAnsi="Tahoma" w:cs="Tahoma"/>
          <w:b/>
          <w:sz w:val="20"/>
          <w:szCs w:val="20"/>
          <w:u w:val="single"/>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Fakty:</w:t>
      </w:r>
    </w:p>
    <w:p w:rsidR="00C51003" w:rsidRPr="00C51003" w:rsidRDefault="00C51003" w:rsidP="00C51003">
      <w:pPr>
        <w:spacing w:after="0" w:line="360" w:lineRule="auto"/>
        <w:jc w:val="both"/>
        <w:rPr>
          <w:rFonts w:ascii="Tahoma" w:hAnsi="Tahoma" w:cs="Tahoma"/>
          <w:b/>
          <w:sz w:val="20"/>
          <w:szCs w:val="20"/>
          <w:u w:val="single"/>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w odniesieniu do płci:</w:t>
      </w:r>
    </w:p>
    <w:p w:rsidR="00C51003" w:rsidRPr="00C51003" w:rsidRDefault="00C51003" w:rsidP="00C51003">
      <w:pPr>
        <w:spacing w:after="0" w:line="360" w:lineRule="auto"/>
        <w:jc w:val="both"/>
        <w:rPr>
          <w:rFonts w:ascii="Tahoma" w:hAnsi="Tahoma" w:cs="Tahoma"/>
          <w:color w:val="FF0000"/>
          <w:sz w:val="20"/>
          <w:szCs w:val="20"/>
        </w:rPr>
      </w:pPr>
      <w:r w:rsidRPr="00C51003">
        <w:rPr>
          <w:rFonts w:ascii="Tahoma" w:hAnsi="Tahoma" w:cs="Tahoma"/>
          <w:sz w:val="20"/>
          <w:szCs w:val="20"/>
        </w:rPr>
        <w:t xml:space="preserve">- równe traktowanie mężczyzn i kobiet stanowi jedną z podstawowych zasad prawa UE,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zasada równości wynagrodzeń jest zapisana w traktatach od 1957 roku,</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różnice w wynagrodzeniach kobiet i mężczyzn wynoszą średnio 16,4,%,</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wskaźniki zatrudnienia kobiet są niższe niż wskaźniki zatrudnienia mężczyzn,</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kompetencje kobiet są często niedoceniane, a ich ocena nie opiera się na obiektywnych kryteriach,</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kobiety otrzymują średnio o 39% niższe emerytury niż mężczyźni,</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strach przed utratą pracy powoduje, iż wiele kobiet rezygnuje z rozwiązań umożliwiających godzenie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życia rodzinnego z pracą, takich jak np. zmniejszenie wymiaru czasu pracy</w:t>
      </w:r>
      <w:r w:rsidRPr="00C51003">
        <w:rPr>
          <w:rStyle w:val="Odwoanieprzypisudolnego"/>
          <w:rFonts w:ascii="Tahoma" w:hAnsi="Tahoma" w:cs="Tahoma"/>
          <w:sz w:val="20"/>
          <w:szCs w:val="20"/>
        </w:rPr>
        <w:footnoteReference w:id="1"/>
      </w:r>
      <w:r w:rsidRPr="00C51003">
        <w:rPr>
          <w:rFonts w:ascii="Tahoma" w:hAnsi="Tahoma" w:cs="Tahoma"/>
          <w:sz w:val="20"/>
          <w:szCs w:val="20"/>
        </w:rPr>
        <w:t>,</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w odniesieniu do posiadanych niepełnosprawności:</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pomimo istnienia różnych rozwiązań i przedsięwzięć, osoby niepełnosprawne w dalszym ciągu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napotykają na bariery w udziale w życiu społecznym jako równoprawni członkowie społeczeństwa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oraz doświadczają naruszenia praw człowieka we wszystkich częściach świata</w:t>
      </w:r>
      <w:r w:rsidRPr="00C51003">
        <w:rPr>
          <w:rStyle w:val="Odwoanieprzypisudolnego"/>
          <w:rFonts w:ascii="Tahoma" w:hAnsi="Tahoma" w:cs="Tahoma"/>
          <w:sz w:val="20"/>
          <w:szCs w:val="20"/>
        </w:rPr>
        <w:footnoteReference w:id="2"/>
      </w:r>
      <w:r w:rsidRPr="00C51003">
        <w:rPr>
          <w:rFonts w:ascii="Tahoma" w:hAnsi="Tahoma" w:cs="Tahoma"/>
          <w:sz w:val="20"/>
          <w:szCs w:val="20"/>
        </w:rPr>
        <w:t>,</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osoby niepełnosprawne, jako pełnoprawni obywatele mają równe prawa i przysługuje im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niezaprzeczalne prawo do godności, równego traktowania, samodzielnego życia i pełnego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uczestnictwa w życiu społecznym,</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- 80 mln ludzi w Unii Europejskiej to osoby niepełnosprawne,</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zebrane przez Agencję Praw Podstawowych Unii Europejskiej niezmiennie wykazują, że osoby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niepełnosprawne spotykają się z dyskryminacją i napotykają na przeszkody jeśli chodzi o korzystanie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na równi z innymi z przysługujących im praw,</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osoby niepełnosprawne stanowią jedną z najbardziej narażonych grup w społeczeństwie, a ich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włączenie do rynku pracy stanowi jedno z największych wyzwań dla polityki społecznej i polityki</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rynku pracy,</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każdego roku parlamentarna Komisja petycji otrzymuje petycje dotyczące dyskryminacji ze względu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na niepełnosprawność jeśli chodzi o dostęp do zatrudnienia, działalności na własny rachunek, usług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publicznych i edukacji,</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wskaźnik zatrudnienia osób w wieku 20 – 64 lata wynosi ponad 70%, natomiast wskaźnik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zatrudnienia osób niepełnosprawnych mniej niż 50%,</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wskaźnik zatrudnienia  kobiet bez niepełnosprawności wynosi 65%, w porównaniu z 44% kobiet                                         </w:t>
      </w:r>
    </w:p>
    <w:p w:rsid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niepełnosprawnych</w:t>
      </w:r>
      <w:r w:rsidRPr="00C51003">
        <w:rPr>
          <w:rStyle w:val="Odwoanieprzypisudolnego"/>
          <w:rFonts w:ascii="Tahoma" w:hAnsi="Tahoma" w:cs="Tahoma"/>
          <w:sz w:val="20"/>
          <w:szCs w:val="20"/>
        </w:rPr>
        <w:footnoteReference w:id="3"/>
      </w:r>
      <w:r w:rsidRPr="00C51003">
        <w:rPr>
          <w:rFonts w:ascii="Tahoma" w:hAnsi="Tahoma" w:cs="Tahoma"/>
          <w:sz w:val="20"/>
          <w:szCs w:val="20"/>
        </w:rPr>
        <w:t>,</w:t>
      </w:r>
    </w:p>
    <w:p w:rsidR="00585790" w:rsidRPr="00C51003" w:rsidRDefault="00585790"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w odniesieniu do wieku, rasy lub pochodzenia etnicznego, wyznawanej religii lub światopoglądu, orientacji seksualnej:</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wolność sumienia i religii jest jedną z podstawowych praw i wolności człowieka (art. 53 Konstytucji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RP). Wolność sumienia i wyznania obejmuje swobodę wyboru religii lub przekonań oraz wyrażania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ich indywidualnie i zbiorowo, prywatnie i publicznie,</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wiek wyznacza granice aktywności zawodowej – z jednej strony określa, od kiedy nabywa się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zdolność do zarobkowania w ramach stosunku pracy, z drugiej wskazuje, do kiedy pracownik może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korzystać w pełnym zakresie z konstytucyjnych gwarancji ochrony pracy,</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prawo wspólnotowe ustanawia zakaz wszelkiej dyskryminacji z przyczyn rasy i pochodzenia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etnicznego – nie tylko w stosunkach zatrudnienia, ale także w sferze ochrony społecznej łącznie z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opieką socjalną i zdrowotną, w dziedzinie edukacji oraz dostępu do dóbr i usług oferowanych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publicznie, w tym do mieszkań,</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każdy człowiek ma prawo zachowania swojej prywatności oraz samookreślenia się w sprawach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orientacji seksualnej.</w:t>
      </w:r>
      <w:r w:rsidRPr="00C51003">
        <w:rPr>
          <w:rStyle w:val="Odwoanieprzypisudolnego"/>
          <w:rFonts w:ascii="Tahoma" w:hAnsi="Tahoma" w:cs="Tahoma"/>
          <w:sz w:val="20"/>
          <w:szCs w:val="20"/>
        </w:rPr>
        <w:footnoteReference w:id="4"/>
      </w:r>
    </w:p>
    <w:p w:rsidR="00C51003" w:rsidRPr="00C51003" w:rsidRDefault="00C51003" w:rsidP="00C51003">
      <w:pPr>
        <w:spacing w:after="0" w:line="360" w:lineRule="auto"/>
        <w:jc w:val="both"/>
        <w:rPr>
          <w:rFonts w:ascii="Tahoma" w:hAnsi="Tahoma" w:cs="Tahoma"/>
          <w:b/>
          <w:sz w:val="20"/>
          <w:szCs w:val="20"/>
          <w:u w:val="single"/>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Skutek:</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b/>
          <w:color w:val="E36C0A"/>
          <w:sz w:val="20"/>
          <w:szCs w:val="20"/>
          <w:u w:val="single"/>
        </w:rPr>
        <w:t>Dyskryminacja -</w:t>
      </w:r>
      <w:r w:rsidRPr="00C51003">
        <w:rPr>
          <w:rFonts w:ascii="Tahoma" w:hAnsi="Tahoma" w:cs="Tahoma"/>
          <w:sz w:val="20"/>
          <w:szCs w:val="20"/>
        </w:rPr>
        <w:t xml:space="preserve"> sytuacja, w której osoba fizyczna ze względu na płeć, rasę, pochodzenie etniczne, narodowość, religię, wyznanie, światopogląd, niepełnosprawność, wiek lub orientację seksualną jest traktowana mniej korzystnie niż jest, była lub byłaby traktowana inna osoba w porównywalnej sytuacji.</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t>Regulacje:</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Konstytucja Rzeczypospolitej Polskiej - Artykuł 32 </w:t>
      </w:r>
    </w:p>
    <w:p w:rsidR="00C51003" w:rsidRPr="00C51003" w:rsidRDefault="00C51003" w:rsidP="00C51003">
      <w:pPr>
        <w:spacing w:after="0" w:line="360" w:lineRule="auto"/>
        <w:jc w:val="both"/>
        <w:rPr>
          <w:rFonts w:ascii="Tahoma" w:hAnsi="Tahoma" w:cs="Tahoma"/>
          <w:sz w:val="20"/>
          <w:szCs w:val="20"/>
          <w:vertAlign w:val="superscript"/>
        </w:rPr>
      </w:pPr>
      <w:r w:rsidRPr="00C51003">
        <w:rPr>
          <w:rFonts w:ascii="Tahoma" w:hAnsi="Tahoma" w:cs="Tahoma"/>
          <w:sz w:val="20"/>
          <w:szCs w:val="20"/>
        </w:rPr>
        <w:t>- Kodeks pracy- Artykuł 183a</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Wytyczne w zakresie realizacji zasady równości szans i niedyskryminacji, w tym dostępności dla osób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z niepełnosprawnościami oraz zasady równości szans kobiet i mężczyzn w ramach funduszy unijnych</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na lata 2014 – 2020 - Ministerstwo Infrastruktury i Rozwoju</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b/>
          <w:color w:val="E36C0A"/>
          <w:sz w:val="20"/>
          <w:szCs w:val="20"/>
          <w:u w:val="single"/>
        </w:rPr>
      </w:pPr>
      <w:r w:rsidRPr="00C51003">
        <w:rPr>
          <w:rFonts w:ascii="Tahoma" w:hAnsi="Tahoma" w:cs="Tahoma"/>
          <w:b/>
          <w:color w:val="E36C0A"/>
          <w:sz w:val="20"/>
          <w:szCs w:val="20"/>
          <w:u w:val="single"/>
        </w:rPr>
        <w:lastRenderedPageBreak/>
        <w:t>Co oznacza, że…</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wszyscy są wobec prawa równi i wszyscy mają prawo do równego traktowania przez władze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publiczne. Nikt nie może być dyskryminowany w życiu politycznym, społecznym lub</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gospodarczym z jakiejkolwiek przyczyny. Kobieta i mężczyzna w Rzeczypospolitej Polskiej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mają równe prawa w życiu rodzinnym, politycznym, społecznym i gospodarczym</w:t>
      </w:r>
      <w:r w:rsidRPr="00C51003">
        <w:rPr>
          <w:rStyle w:val="Odwoanieprzypisudolnego"/>
          <w:rFonts w:ascii="Tahoma" w:hAnsi="Tahoma" w:cs="Tahoma"/>
          <w:sz w:val="20"/>
          <w:szCs w:val="20"/>
        </w:rPr>
        <w:footnoteReference w:id="5"/>
      </w:r>
      <w:r w:rsidRPr="00C51003">
        <w:rPr>
          <w:rFonts w:ascii="Tahoma" w:hAnsi="Tahoma" w:cs="Tahoma"/>
          <w:sz w:val="20"/>
          <w:szCs w:val="20"/>
        </w:rPr>
        <w:t>.</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zgodnie z zasadą równości szans i niedyskryminacji należy umożliwić wszystkim osobom – bez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względu na płeć, wiek, niepełnosprawność, rasę lub pochodzenie etniczne, wyznawaną religię lub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światopogląd, orientację seksualną – sprawiedliwego, pełnego uczestnictwa we wszystkich </w:t>
      </w:r>
    </w:p>
    <w:p w:rsidR="00C51003" w:rsidRPr="00C51003" w:rsidRDefault="00C51003" w:rsidP="00C51003">
      <w:pPr>
        <w:spacing w:after="0" w:line="360" w:lineRule="auto"/>
        <w:jc w:val="both"/>
        <w:rPr>
          <w:rFonts w:ascii="Tahoma" w:hAnsi="Tahoma" w:cs="Tahoma"/>
          <w:sz w:val="20"/>
          <w:szCs w:val="20"/>
        </w:rPr>
      </w:pPr>
      <w:r w:rsidRPr="00C51003">
        <w:rPr>
          <w:rFonts w:ascii="Tahoma" w:hAnsi="Tahoma" w:cs="Tahoma"/>
          <w:sz w:val="20"/>
          <w:szCs w:val="20"/>
        </w:rPr>
        <w:t xml:space="preserve">  dziedzinach życia na jednakowych zasadach. </w:t>
      </w: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rsidP="00C51003">
      <w:pPr>
        <w:spacing w:after="0" w:line="360" w:lineRule="auto"/>
        <w:jc w:val="both"/>
        <w:rPr>
          <w:rFonts w:ascii="Tahoma" w:hAnsi="Tahoma" w:cs="Tahoma"/>
          <w:sz w:val="20"/>
          <w:szCs w:val="20"/>
        </w:rPr>
      </w:pPr>
    </w:p>
    <w:p w:rsidR="00C51003" w:rsidRPr="00C51003" w:rsidRDefault="00C51003">
      <w:pPr>
        <w:rPr>
          <w:rFonts w:ascii="Tahoma" w:hAnsi="Tahoma" w:cs="Tahoma"/>
        </w:rPr>
      </w:pPr>
    </w:p>
    <w:p w:rsidR="00C51003" w:rsidRPr="00C51003" w:rsidRDefault="00C51003">
      <w:pPr>
        <w:rPr>
          <w:rFonts w:ascii="Tahoma" w:hAnsi="Tahoma" w:cs="Tahoma"/>
        </w:rPr>
      </w:pPr>
    </w:p>
    <w:p w:rsidR="00C51003" w:rsidRPr="00C51003" w:rsidRDefault="00C51003">
      <w:pPr>
        <w:rPr>
          <w:rFonts w:ascii="Tahoma" w:hAnsi="Tahoma" w:cs="Tahoma"/>
        </w:rPr>
      </w:pPr>
    </w:p>
    <w:p w:rsidR="00C51003" w:rsidRPr="00C51003" w:rsidRDefault="00C51003">
      <w:pPr>
        <w:rPr>
          <w:rFonts w:ascii="Tahoma" w:hAnsi="Tahoma" w:cs="Tahoma"/>
        </w:rPr>
      </w:pPr>
    </w:p>
    <w:p w:rsidR="00C51003" w:rsidRPr="00C51003" w:rsidRDefault="00C51003">
      <w:pPr>
        <w:rPr>
          <w:rFonts w:ascii="Tahoma" w:hAnsi="Tahoma" w:cs="Tahoma"/>
        </w:rPr>
      </w:pPr>
    </w:p>
    <w:p w:rsidR="00C51003" w:rsidRPr="00C51003" w:rsidRDefault="00C51003">
      <w:pPr>
        <w:rPr>
          <w:rFonts w:ascii="Tahoma" w:hAnsi="Tahoma" w:cs="Tahoma"/>
        </w:rPr>
      </w:pPr>
    </w:p>
    <w:sectPr w:rsidR="00C51003" w:rsidRPr="00C510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96" w:rsidRDefault="00182C96" w:rsidP="00DE22BC">
      <w:pPr>
        <w:spacing w:after="0" w:line="240" w:lineRule="auto"/>
      </w:pPr>
      <w:r>
        <w:separator/>
      </w:r>
    </w:p>
  </w:endnote>
  <w:endnote w:type="continuationSeparator" w:id="0">
    <w:p w:rsidR="00182C96" w:rsidRDefault="00182C96" w:rsidP="00DE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96" w:rsidRDefault="00182C96" w:rsidP="00DE22BC">
      <w:pPr>
        <w:spacing w:after="0" w:line="240" w:lineRule="auto"/>
      </w:pPr>
      <w:r>
        <w:separator/>
      </w:r>
    </w:p>
  </w:footnote>
  <w:footnote w:type="continuationSeparator" w:id="0">
    <w:p w:rsidR="00182C96" w:rsidRDefault="00182C96" w:rsidP="00DE22BC">
      <w:pPr>
        <w:spacing w:after="0" w:line="240" w:lineRule="auto"/>
      </w:pPr>
      <w:r>
        <w:continuationSeparator/>
      </w:r>
    </w:p>
  </w:footnote>
  <w:footnote w:id="1">
    <w:p w:rsidR="00C51003" w:rsidRPr="00E03F24" w:rsidRDefault="00C51003" w:rsidP="00C51003">
      <w:pPr>
        <w:pStyle w:val="Tekstprzypisudolnego"/>
        <w:rPr>
          <w:rFonts w:ascii="Tahoma" w:hAnsi="Tahoma" w:cs="Tahoma"/>
          <w:lang w:val="pl-PL"/>
        </w:rPr>
      </w:pPr>
      <w:r w:rsidRPr="00E03F24">
        <w:rPr>
          <w:rStyle w:val="Odwoanieprzypisudolnego"/>
          <w:rFonts w:ascii="Tahoma" w:hAnsi="Tahoma" w:cs="Tahoma"/>
        </w:rPr>
        <w:footnoteRef/>
      </w:r>
      <w:r w:rsidRPr="00E03F24">
        <w:rPr>
          <w:rFonts w:ascii="Tahoma" w:hAnsi="Tahoma" w:cs="Tahoma"/>
          <w:lang w:val="pl-PL"/>
        </w:rPr>
        <w:t xml:space="preserve"> </w:t>
      </w:r>
      <w:r w:rsidRPr="00E03F24">
        <w:rPr>
          <w:rFonts w:ascii="Tahoma" w:hAnsi="Tahoma" w:cs="Tahoma"/>
          <w:sz w:val="14"/>
          <w:lang w:val="pl-PL"/>
        </w:rPr>
        <w:t>Rezolucja Parlamentu Europejskiego z dnia 8 października 2015 r. w sprawie stosowania dyrektywy 2006/54/WE  Parlamentu Europejskiego i Rady  z dnia 5 lipca 2006 r. w sprawie wprowadzenia w życie zasady równości szans oraz równego traktowania kobiet i mężczyzn w dz</w:t>
      </w:r>
      <w:r w:rsidR="00F417F3">
        <w:rPr>
          <w:rFonts w:ascii="Tahoma" w:hAnsi="Tahoma" w:cs="Tahoma"/>
          <w:sz w:val="14"/>
          <w:lang w:val="pl-PL"/>
        </w:rPr>
        <w:t xml:space="preserve">iedzinie zatrudnienia i pracy </w:t>
      </w:r>
      <w:r w:rsidRPr="00E03F24">
        <w:rPr>
          <w:rFonts w:ascii="Tahoma" w:hAnsi="Tahoma" w:cs="Tahoma"/>
          <w:sz w:val="14"/>
          <w:lang w:val="pl-PL"/>
        </w:rPr>
        <w:t xml:space="preserve"> (2014/2160INI)).</w:t>
      </w:r>
    </w:p>
  </w:footnote>
  <w:footnote w:id="2">
    <w:p w:rsidR="00C51003" w:rsidRPr="00E03F24" w:rsidRDefault="00C51003" w:rsidP="00C51003">
      <w:pPr>
        <w:pStyle w:val="Tekstprzypisudolnego"/>
        <w:rPr>
          <w:rFonts w:ascii="Tahoma" w:hAnsi="Tahoma" w:cs="Tahoma"/>
          <w:lang w:val="pl-PL"/>
        </w:rPr>
      </w:pPr>
      <w:r w:rsidRPr="00E03F24">
        <w:rPr>
          <w:rStyle w:val="Odwoanieprzypisudolnego"/>
          <w:rFonts w:ascii="Tahoma" w:hAnsi="Tahoma" w:cs="Tahoma"/>
        </w:rPr>
        <w:footnoteRef/>
      </w:r>
      <w:r w:rsidRPr="00E03F24">
        <w:rPr>
          <w:rFonts w:ascii="Tahoma" w:hAnsi="Tahoma" w:cs="Tahoma"/>
          <w:lang w:val="pl-PL"/>
        </w:rPr>
        <w:t xml:space="preserve"> </w:t>
      </w:r>
      <w:r w:rsidRPr="00E03F24">
        <w:rPr>
          <w:rFonts w:ascii="Tahoma" w:hAnsi="Tahoma" w:cs="Tahoma"/>
          <w:sz w:val="14"/>
          <w:lang w:val="pl-PL"/>
        </w:rPr>
        <w:t>Konwencja ONZ o prawach osób niepełnosprawnych.</w:t>
      </w:r>
    </w:p>
  </w:footnote>
  <w:footnote w:id="3">
    <w:p w:rsidR="00C51003" w:rsidRPr="000D63DE" w:rsidRDefault="00C51003" w:rsidP="00C51003">
      <w:pPr>
        <w:pStyle w:val="Tekstprzypisudolnego"/>
        <w:rPr>
          <w:rFonts w:ascii="Tahoma" w:hAnsi="Tahoma" w:cs="Tahoma"/>
          <w:sz w:val="14"/>
          <w:lang w:val="pl-PL"/>
        </w:rPr>
      </w:pPr>
      <w:r w:rsidRPr="00E03F24">
        <w:rPr>
          <w:rStyle w:val="Odwoanieprzypisudolnego"/>
          <w:rFonts w:ascii="Tahoma" w:hAnsi="Tahoma" w:cs="Tahoma"/>
        </w:rPr>
        <w:footnoteRef/>
      </w:r>
      <w:r w:rsidRPr="00E03F24">
        <w:rPr>
          <w:rFonts w:ascii="Tahoma" w:hAnsi="Tahoma" w:cs="Tahoma"/>
          <w:lang w:val="pl-PL"/>
        </w:rPr>
        <w:t xml:space="preserve"> </w:t>
      </w:r>
      <w:r w:rsidRPr="00E03F24">
        <w:rPr>
          <w:rFonts w:ascii="Tahoma" w:hAnsi="Tahoma" w:cs="Tahoma"/>
          <w:sz w:val="14"/>
          <w:lang w:val="pl-PL"/>
        </w:rPr>
        <w:t xml:space="preserve">Rezolucja Parlamentu Europejskiego z dnia 20 maja 2015 r. w sprawie listy pytań wstępnych przyjętej przez komitet do spraw Praw Osób Niepełnosprawnych  </w:t>
      </w:r>
      <w:bookmarkStart w:id="0" w:name="_GoBack"/>
      <w:bookmarkEnd w:id="0"/>
      <w:r w:rsidRPr="00E03F24">
        <w:rPr>
          <w:rFonts w:ascii="Tahoma" w:hAnsi="Tahoma" w:cs="Tahoma"/>
          <w:sz w:val="14"/>
          <w:lang w:val="pl-PL"/>
        </w:rPr>
        <w:t>ONZ w odniesieniu do wstępnego sprawozdania Unii Europejskiej (2015/2684 (RSP))</w:t>
      </w:r>
    </w:p>
  </w:footnote>
  <w:footnote w:id="4">
    <w:p w:rsidR="00C51003" w:rsidRPr="00C51003" w:rsidRDefault="00C51003" w:rsidP="00C51003">
      <w:pPr>
        <w:pStyle w:val="Tekstprzypisudolnego"/>
        <w:rPr>
          <w:lang w:val="pl-PL"/>
        </w:rPr>
      </w:pPr>
      <w:r>
        <w:rPr>
          <w:rStyle w:val="Odwoanieprzypisudolnego"/>
        </w:rPr>
        <w:footnoteRef/>
      </w:r>
      <w:r w:rsidRPr="00C51003">
        <w:rPr>
          <w:lang w:val="pl-PL"/>
        </w:rPr>
        <w:t xml:space="preserve"> </w:t>
      </w:r>
      <w:r w:rsidRPr="00E03F24">
        <w:rPr>
          <w:rFonts w:ascii="Tahoma" w:hAnsi="Tahoma" w:cs="Tahoma"/>
          <w:sz w:val="14"/>
          <w:lang w:val="pl-PL"/>
        </w:rPr>
        <w:t>Przeciwdziałanie dyskryminacji w Polsce,</w:t>
      </w:r>
      <w:r w:rsidRPr="00E03F24">
        <w:rPr>
          <w:rFonts w:ascii="Tahoma" w:hAnsi="Tahoma" w:cs="Tahoma"/>
          <w:lang w:val="pl-PL"/>
        </w:rPr>
        <w:t xml:space="preserve"> </w:t>
      </w:r>
      <w:r w:rsidRPr="00E03F24">
        <w:rPr>
          <w:rFonts w:ascii="Tahoma" w:hAnsi="Tahoma" w:cs="Tahoma"/>
          <w:sz w:val="14"/>
          <w:lang w:val="pl-PL"/>
        </w:rPr>
        <w:t>Broszura prawna 32 2 korekta Kancelaria Prezesa Rady Ministrów, Sekretariat Pełnomocnika Rządu do Spraw Równego Statusu Kobiet i Mężczyzn</w:t>
      </w:r>
    </w:p>
  </w:footnote>
  <w:footnote w:id="5">
    <w:p w:rsidR="00C51003" w:rsidRPr="00906F65" w:rsidRDefault="00C51003" w:rsidP="00C51003">
      <w:pPr>
        <w:spacing w:after="0" w:line="360" w:lineRule="auto"/>
        <w:jc w:val="both"/>
        <w:rPr>
          <w:sz w:val="14"/>
          <w:szCs w:val="20"/>
        </w:rPr>
      </w:pPr>
      <w:r>
        <w:rPr>
          <w:rStyle w:val="Odwoanieprzypisudolnego"/>
        </w:rPr>
        <w:footnoteRef/>
      </w:r>
      <w:r w:rsidRPr="00906F65">
        <w:rPr>
          <w:sz w:val="14"/>
          <w:szCs w:val="20"/>
        </w:rPr>
        <w:t xml:space="preserve"> </w:t>
      </w:r>
      <w:hyperlink r:id="rId1" w:history="1">
        <w:r w:rsidRPr="00906F65">
          <w:rPr>
            <w:sz w:val="14"/>
            <w:szCs w:val="20"/>
          </w:rPr>
          <w:t>https://www.rpo.gov.pl/pl/content/czym-jest-dyskryminacja</w:t>
        </w:r>
      </w:hyperlink>
    </w:p>
    <w:p w:rsidR="00C51003" w:rsidRPr="00C51003" w:rsidRDefault="00C51003" w:rsidP="00C51003">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2" w:rsidRDefault="00713A41" w:rsidP="00713A41">
    <w:pPr>
      <w:pStyle w:val="Nagwek"/>
      <w:tabs>
        <w:tab w:val="clear" w:pos="4536"/>
        <w:tab w:val="clear" w:pos="9072"/>
        <w:tab w:val="left" w:pos="8250"/>
      </w:tabs>
    </w:pPr>
    <w:r>
      <w:rPr>
        <w:noProof/>
        <w:lang w:eastAsia="pl-PL"/>
      </w:rPr>
      <w:drawing>
        <wp:anchor distT="0" distB="0" distL="114300" distR="114300" simplePos="0" relativeHeight="251660288" behindDoc="1" locked="0" layoutInCell="1" allowOverlap="1" wp14:anchorId="4D42F8E7" wp14:editId="1D5385DE">
          <wp:simplePos x="0" y="0"/>
          <wp:positionH relativeFrom="column">
            <wp:posOffset>3555365</wp:posOffset>
          </wp:positionH>
          <wp:positionV relativeFrom="paragraph">
            <wp:posOffset>-285750</wp:posOffset>
          </wp:positionV>
          <wp:extent cx="2374265" cy="717550"/>
          <wp:effectExtent l="0" t="0" r="6985" b="6350"/>
          <wp:wrapTight wrapText="bothSides">
            <wp:wrapPolygon edited="0">
              <wp:start x="0" y="0"/>
              <wp:lineTo x="0" y="21218"/>
              <wp:lineTo x="21490" y="21218"/>
              <wp:lineTo x="21490" y="0"/>
              <wp:lineTo x="0" y="0"/>
            </wp:wrapPolygon>
          </wp:wrapTight>
          <wp:docPr id="3" name="Obraz 3" descr="G:\PF\Iza\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F\Iza\UE_EFS_POZIOM-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28436839" wp14:editId="3D020CA1">
          <wp:simplePos x="0" y="0"/>
          <wp:positionH relativeFrom="column">
            <wp:posOffset>-13970</wp:posOffset>
          </wp:positionH>
          <wp:positionV relativeFrom="paragraph">
            <wp:posOffset>-335280</wp:posOffset>
          </wp:positionV>
          <wp:extent cx="1412875" cy="790575"/>
          <wp:effectExtent l="0" t="0" r="0" b="9525"/>
          <wp:wrapTight wrapText="bothSides">
            <wp:wrapPolygon edited="0">
              <wp:start x="0" y="0"/>
              <wp:lineTo x="0" y="21340"/>
              <wp:lineTo x="21260" y="21340"/>
              <wp:lineTo x="2126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52BAD"/>
    <w:multiLevelType w:val="hybridMultilevel"/>
    <w:tmpl w:val="A64AF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BC"/>
    <w:rsid w:val="00025918"/>
    <w:rsid w:val="0004609D"/>
    <w:rsid w:val="000516AD"/>
    <w:rsid w:val="000D63DE"/>
    <w:rsid w:val="00182C96"/>
    <w:rsid w:val="001F5CB9"/>
    <w:rsid w:val="0027191C"/>
    <w:rsid w:val="0035107B"/>
    <w:rsid w:val="005842ED"/>
    <w:rsid w:val="00585790"/>
    <w:rsid w:val="00593794"/>
    <w:rsid w:val="006B3EE0"/>
    <w:rsid w:val="00713A41"/>
    <w:rsid w:val="00831168"/>
    <w:rsid w:val="008B766C"/>
    <w:rsid w:val="009B0C84"/>
    <w:rsid w:val="00AF2C9B"/>
    <w:rsid w:val="00C51003"/>
    <w:rsid w:val="00D75082"/>
    <w:rsid w:val="00D97374"/>
    <w:rsid w:val="00DE22BC"/>
    <w:rsid w:val="00E03F24"/>
    <w:rsid w:val="00E329D2"/>
    <w:rsid w:val="00E62366"/>
    <w:rsid w:val="00F165D0"/>
    <w:rsid w:val="00F417F3"/>
    <w:rsid w:val="00FC694F"/>
    <w:rsid w:val="00FC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E22BC"/>
    <w:pPr>
      <w:spacing w:after="0" w:line="240" w:lineRule="auto"/>
    </w:pPr>
    <w:rPr>
      <w:rFonts w:ascii="Times New Roman" w:eastAsia="Times New Roman" w:hAnsi="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rsid w:val="00DE22BC"/>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unhideWhenUsed/>
    <w:rsid w:val="00DE22BC"/>
    <w:rPr>
      <w:vertAlign w:val="superscript"/>
    </w:rPr>
  </w:style>
  <w:style w:type="character" w:styleId="Hipercze">
    <w:name w:val="Hyperlink"/>
    <w:basedOn w:val="Domylnaczcionkaakapitu"/>
    <w:uiPriority w:val="99"/>
    <w:semiHidden/>
    <w:unhideWhenUsed/>
    <w:rsid w:val="00DE22BC"/>
    <w:rPr>
      <w:color w:val="0000FF"/>
      <w:u w:val="single"/>
    </w:rPr>
  </w:style>
  <w:style w:type="character" w:styleId="Odwoaniedokomentarza">
    <w:name w:val="annotation reference"/>
    <w:basedOn w:val="Domylnaczcionkaakapitu"/>
    <w:uiPriority w:val="99"/>
    <w:semiHidden/>
    <w:unhideWhenUsed/>
    <w:rsid w:val="00E62366"/>
    <w:rPr>
      <w:sz w:val="16"/>
      <w:szCs w:val="16"/>
    </w:rPr>
  </w:style>
  <w:style w:type="paragraph" w:styleId="Tekstkomentarza">
    <w:name w:val="annotation text"/>
    <w:basedOn w:val="Normalny"/>
    <w:link w:val="TekstkomentarzaZnak"/>
    <w:uiPriority w:val="99"/>
    <w:semiHidden/>
    <w:unhideWhenUsed/>
    <w:rsid w:val="00E623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36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2366"/>
    <w:rPr>
      <w:b/>
      <w:bCs/>
    </w:rPr>
  </w:style>
  <w:style w:type="character" w:customStyle="1" w:styleId="TematkomentarzaZnak">
    <w:name w:val="Temat komentarza Znak"/>
    <w:basedOn w:val="TekstkomentarzaZnak"/>
    <w:link w:val="Tematkomentarza"/>
    <w:uiPriority w:val="99"/>
    <w:semiHidden/>
    <w:rsid w:val="00E6236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2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366"/>
    <w:rPr>
      <w:rFonts w:ascii="Tahoma" w:eastAsia="Calibri" w:hAnsi="Tahoma" w:cs="Tahoma"/>
      <w:sz w:val="16"/>
      <w:szCs w:val="16"/>
    </w:rPr>
  </w:style>
  <w:style w:type="paragraph" w:styleId="Nagwek">
    <w:name w:val="header"/>
    <w:basedOn w:val="Normalny"/>
    <w:link w:val="NagwekZnak"/>
    <w:uiPriority w:val="99"/>
    <w:unhideWhenUsed/>
    <w:rsid w:val="00D750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5082"/>
    <w:rPr>
      <w:rFonts w:ascii="Calibri" w:eastAsia="Calibri" w:hAnsi="Calibri" w:cs="Times New Roman"/>
    </w:rPr>
  </w:style>
  <w:style w:type="paragraph" w:styleId="Stopka">
    <w:name w:val="footer"/>
    <w:basedOn w:val="Normalny"/>
    <w:link w:val="StopkaZnak"/>
    <w:uiPriority w:val="99"/>
    <w:unhideWhenUsed/>
    <w:rsid w:val="00D750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50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E22BC"/>
    <w:pPr>
      <w:spacing w:after="0" w:line="240" w:lineRule="auto"/>
    </w:pPr>
    <w:rPr>
      <w:rFonts w:ascii="Times New Roman" w:eastAsia="Times New Roman" w:hAnsi="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rsid w:val="00DE22BC"/>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unhideWhenUsed/>
    <w:rsid w:val="00DE22BC"/>
    <w:rPr>
      <w:vertAlign w:val="superscript"/>
    </w:rPr>
  </w:style>
  <w:style w:type="character" w:styleId="Hipercze">
    <w:name w:val="Hyperlink"/>
    <w:basedOn w:val="Domylnaczcionkaakapitu"/>
    <w:uiPriority w:val="99"/>
    <w:semiHidden/>
    <w:unhideWhenUsed/>
    <w:rsid w:val="00DE22BC"/>
    <w:rPr>
      <w:color w:val="0000FF"/>
      <w:u w:val="single"/>
    </w:rPr>
  </w:style>
  <w:style w:type="character" w:styleId="Odwoaniedokomentarza">
    <w:name w:val="annotation reference"/>
    <w:basedOn w:val="Domylnaczcionkaakapitu"/>
    <w:uiPriority w:val="99"/>
    <w:semiHidden/>
    <w:unhideWhenUsed/>
    <w:rsid w:val="00E62366"/>
    <w:rPr>
      <w:sz w:val="16"/>
      <w:szCs w:val="16"/>
    </w:rPr>
  </w:style>
  <w:style w:type="paragraph" w:styleId="Tekstkomentarza">
    <w:name w:val="annotation text"/>
    <w:basedOn w:val="Normalny"/>
    <w:link w:val="TekstkomentarzaZnak"/>
    <w:uiPriority w:val="99"/>
    <w:semiHidden/>
    <w:unhideWhenUsed/>
    <w:rsid w:val="00E623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36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2366"/>
    <w:rPr>
      <w:b/>
      <w:bCs/>
    </w:rPr>
  </w:style>
  <w:style w:type="character" w:customStyle="1" w:styleId="TematkomentarzaZnak">
    <w:name w:val="Temat komentarza Znak"/>
    <w:basedOn w:val="TekstkomentarzaZnak"/>
    <w:link w:val="Tematkomentarza"/>
    <w:uiPriority w:val="99"/>
    <w:semiHidden/>
    <w:rsid w:val="00E6236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2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366"/>
    <w:rPr>
      <w:rFonts w:ascii="Tahoma" w:eastAsia="Calibri" w:hAnsi="Tahoma" w:cs="Tahoma"/>
      <w:sz w:val="16"/>
      <w:szCs w:val="16"/>
    </w:rPr>
  </w:style>
  <w:style w:type="paragraph" w:styleId="Nagwek">
    <w:name w:val="header"/>
    <w:basedOn w:val="Normalny"/>
    <w:link w:val="NagwekZnak"/>
    <w:uiPriority w:val="99"/>
    <w:unhideWhenUsed/>
    <w:rsid w:val="00D750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5082"/>
    <w:rPr>
      <w:rFonts w:ascii="Calibri" w:eastAsia="Calibri" w:hAnsi="Calibri" w:cs="Times New Roman"/>
    </w:rPr>
  </w:style>
  <w:style w:type="paragraph" w:styleId="Stopka">
    <w:name w:val="footer"/>
    <w:basedOn w:val="Normalny"/>
    <w:link w:val="StopkaZnak"/>
    <w:uiPriority w:val="99"/>
    <w:unhideWhenUsed/>
    <w:rsid w:val="00D750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50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po.gov.pl/pl/content/czym-jest-dyskryminacj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4D75-D9D3-4F41-9A56-7D6AABD7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918</Words>
  <Characters>5511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Thomas</dc:creator>
  <cp:lastModifiedBy>Izabela Thomas</cp:lastModifiedBy>
  <cp:revision>11</cp:revision>
  <dcterms:created xsi:type="dcterms:W3CDTF">2015-12-07T07:45:00Z</dcterms:created>
  <dcterms:modified xsi:type="dcterms:W3CDTF">2016-11-30T11:30:00Z</dcterms:modified>
</cp:coreProperties>
</file>