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E3" w:rsidRDefault="001705E3">
      <w:pPr>
        <w:rPr>
          <w:b/>
          <w:bCs/>
          <w:sz w:val="22"/>
          <w:szCs w:val="22"/>
        </w:rPr>
      </w:pPr>
    </w:p>
    <w:p w:rsidR="001705E3" w:rsidRDefault="001705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REGULAMIN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sprawie przyznawania środk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z Funduszu Pracy na podjęcie działalności gospodarczej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5A89" w:rsidRDefault="00355A89" w:rsidP="00355A89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Grupy docelowe:</w:t>
      </w:r>
    </w:p>
    <w:p w:rsidR="007D04ED" w:rsidRPr="007D04ED" w:rsidRDefault="007D04ED" w:rsidP="007D04ED">
      <w:pPr>
        <w:pStyle w:val="Zwykytek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bezrobotne do 30 roku życia </w:t>
      </w:r>
      <w:r w:rsidRPr="006D4608">
        <w:rPr>
          <w:rFonts w:ascii="Times New Roman" w:hAnsi="Times New Roman"/>
          <w:b/>
          <w:sz w:val="24"/>
          <w:szCs w:val="24"/>
        </w:rPr>
        <w:t>zarejestrowane w Powiatowym Urzędzie Pracy dla Miasta Torunia i zakwalifikowane do II profilu pomocy lub w uzasadnionych przypadkach zakwalifikowane do I profilu pomocy  z wyłączeniem bezrobotnych, którzy korzystają w 2018r. z aktywnych form organizowanych przez Powiatowy</w:t>
      </w:r>
      <w:r w:rsidR="00591700">
        <w:rPr>
          <w:rFonts w:ascii="Times New Roman" w:hAnsi="Times New Roman"/>
          <w:b/>
          <w:sz w:val="24"/>
          <w:szCs w:val="24"/>
        </w:rPr>
        <w:t xml:space="preserve"> Urząd Pracy dla Miasta Torunia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55A89" w:rsidRDefault="00E31D86" w:rsidP="001F4A0D">
      <w:pPr>
        <w:pStyle w:val="Zwykytek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bezrobotne powyżej 45 roku </w:t>
      </w:r>
      <w:r w:rsidR="006D4608" w:rsidRPr="006D4608">
        <w:rPr>
          <w:rFonts w:ascii="Times New Roman" w:hAnsi="Times New Roman"/>
          <w:b/>
          <w:sz w:val="24"/>
          <w:szCs w:val="24"/>
        </w:rPr>
        <w:t xml:space="preserve">życia </w:t>
      </w:r>
      <w:r w:rsidR="00355A89" w:rsidRPr="006D4608">
        <w:rPr>
          <w:rFonts w:ascii="Times New Roman" w:hAnsi="Times New Roman"/>
          <w:b/>
          <w:sz w:val="24"/>
          <w:szCs w:val="24"/>
        </w:rPr>
        <w:t>zarejestrowane w Powiatowym Urzędzie Pracy dla Miasta Torunia i zakwalifikowane do II profilu pomocy lub w uzasadnionych przypadkach zakwalifikowane do I profilu pomocy  z wyłączeniem bezrob</w:t>
      </w:r>
      <w:r w:rsidR="00B60625" w:rsidRPr="006D4608">
        <w:rPr>
          <w:rFonts w:ascii="Times New Roman" w:hAnsi="Times New Roman"/>
          <w:b/>
          <w:sz w:val="24"/>
          <w:szCs w:val="24"/>
        </w:rPr>
        <w:t>otnych, którzy korzystają w 2018</w:t>
      </w:r>
      <w:r w:rsidR="00355A89" w:rsidRPr="006D4608">
        <w:rPr>
          <w:rFonts w:ascii="Times New Roman" w:hAnsi="Times New Roman"/>
          <w:b/>
          <w:sz w:val="24"/>
          <w:szCs w:val="24"/>
        </w:rPr>
        <w:t>r. z aktywnych form organizowanych przez Powiatowy Urząd Pracy dla Miasta Torunia</w:t>
      </w:r>
      <w:r w:rsidR="00591700">
        <w:rPr>
          <w:rFonts w:ascii="Times New Roman" w:hAnsi="Times New Roman"/>
          <w:b/>
          <w:sz w:val="24"/>
          <w:szCs w:val="24"/>
        </w:rPr>
        <w:t>.</w:t>
      </w:r>
    </w:p>
    <w:p w:rsidR="00591700" w:rsidRDefault="00591700" w:rsidP="005917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591700" w:rsidRDefault="00591700" w:rsidP="005917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591700" w:rsidRPr="001F4A0D" w:rsidRDefault="00591700" w:rsidP="005917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pierwszej kolejności będą rozpatrywane wnioski osób bezrobotnych zarejestrowanych w Urzędzie przez okres co najmniej 2 miesięcy.</w:t>
      </w:r>
    </w:p>
    <w:p w:rsidR="00355A89" w:rsidRPr="006D4608" w:rsidRDefault="00355A89" w:rsidP="006D4608">
      <w:pPr>
        <w:jc w:val="both"/>
        <w:rPr>
          <w:b/>
        </w:rPr>
      </w:pPr>
      <w:r w:rsidRPr="006D4608">
        <w:rPr>
          <w:b/>
        </w:rPr>
        <w:t xml:space="preserve">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7D04ED">
        <w:rPr>
          <w:rFonts w:ascii="Times New Roman" w:hAnsi="Times New Roman"/>
          <w:sz w:val="24"/>
          <w:szCs w:val="24"/>
        </w:rPr>
        <w:t>(t.j. Dz. U. z 2018r. poz. 12</w:t>
      </w:r>
      <w:r>
        <w:rPr>
          <w:rFonts w:ascii="Times New Roman" w:hAnsi="Times New Roman"/>
          <w:sz w:val="24"/>
          <w:szCs w:val="24"/>
        </w:rPr>
        <w:t>65 z późn.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wyposażenia lub doposażenia stanowiska pracy oraz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Komisji (UE) nr 1407/2013 z dnia 18 grudnia 2013 r. w sprawie stosowania art. 107 i 108 Traktatu o funkcjonowaniu Unii Europejskiej do pomocy de minimis (Dz. Urz. UE L 352.1 z 24.12.2013r.);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30 kwietnia 2004 o postępowaniu w sprawach dotyczących pomocy publicznej (t.j. Dz. U. </w:t>
      </w:r>
      <w:r w:rsidR="00474257">
        <w:rPr>
          <w:rFonts w:ascii="Times New Roman" w:hAnsi="Times New Roman"/>
          <w:sz w:val="24"/>
          <w:szCs w:val="24"/>
        </w:rPr>
        <w:t>z 2018r. poz. 362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 lipca 2004r. o swobodzie działalności gospodarczej (t.j. Dz.U. z 2017r. poz. 2168);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14 czerwca 1960 - Kodeks postępowania administracyjnego (t.j. Dz. U.                 z 2017r. poz. 1257);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23 kwietnia 1964 - Kodeks cywilny (t.j. Dz. U. z 2017, poz. 459 z późn.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17 listopada 1964 - Kodeks postępowania cywilnego (t.j. Dz. U. z 2016r.                   poz. 1822 z późn. zm.).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700" w:rsidRDefault="0059170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§2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 przez to rozumieć ustawę z dnia 20 kwietnia 2004r. o promocji zatrudnienia i instytucjach rynku pracy (t.j. Dz. U. z 2017r. poz. 1065 z późn.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 przez to rozumieć rozporządzenie Ministra Rodziny, Pracy                   i Polityki Społecznej z dnia 14.07.2017r.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wyposażenia lub doposażenia stanowiska pracy oraz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bezrobotnym – oznacza to osobę spełniającą przesłanki art.2 ust.1 pkt 2 Ustawy; 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CIS – oznacza to absolwenta centrum integracji społecznej,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1a ustawy z dnia 13 czerwca 2003 r. o zatrudnieniu socjalnym (t.j. Dz.U. z 2016r.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absolwencie KIS – oznacza to absolwenta klubu integracji społecznej,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1b ustawy z dnia 13 czerwca 2003 r. o zatrudnieniu socjalnym (t.j. Dz. U. z 2016r.,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przez to rozumieć poszukującego pracy niepozostającego w </w:t>
      </w:r>
    </w:p>
    <w:p w:rsidR="001705E3" w:rsidRDefault="001C741B">
      <w:pPr>
        <w:pStyle w:val="Bezodstpw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świadczeniach rodzinnych, lub zasiłek dla opiekuna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ustaleniu i wypłacie zasiłk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dla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– oznacza to podmioty wymienione w pkt 4-7 niniejszego ustępu;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przeciętnym wynagrodzeniu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przez to rozumieć przeciętne wynagrodzenie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rFonts w:ascii="Times New Roman" w:hAnsi="Times New Roman"/>
          <w:sz w:val="24"/>
          <w:szCs w:val="24"/>
          <w:lang w:val="nl-NL"/>
        </w:rPr>
        <w:t>Spo</w:t>
      </w:r>
      <w:r>
        <w:rPr>
          <w:rFonts w:ascii="Times New Roman" w:hAnsi="Times New Roman"/>
          <w:sz w:val="24"/>
          <w:szCs w:val="24"/>
        </w:rPr>
        <w:t>łecznych (t.j. Dz.U. z 2017r., poz. 1383 z późn.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- oznacza to Komisję powołaną przez Dyrektora Powiatowego Urzędu Pracy dla Miasta Torunia jako organ opiniodawczy w sprawie przyznawania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Regulaminie – oznacza to niniejszy Regulamin w sprawie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Funduszu Pracy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Umowie – oznacza to umowę o przyznanie bezrobotnemu, absolwentowi CIS, absolwentowi KIS lub opiekunowi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 przez to rozumieć wniosek w sprawie jednorazowego dofinansowania podjęcia działalności gospodarczej przez bezrobotnego, absolwenta CIS, absolwenta KIS lub opiekuna;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przyznać bezrobotnemu, absolwentowi CIS, absolwentowi KIS lub </w:t>
      </w:r>
      <w:r>
        <w:rPr>
          <w:rFonts w:ascii="Times New Roman" w:hAnsi="Times New Roman"/>
          <w:sz w:val="24"/>
          <w:szCs w:val="24"/>
        </w:rPr>
        <w:lastRenderedPageBreak/>
        <w:t>opiekunowi jednorazowo środki na podjęcie działalności gospodarczej, w tym na pokrycie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pomocy prawnej, konsultacji i doradztwa związanych z podjęciem tej działalności gospodarczej. </w:t>
      </w:r>
    </w:p>
    <w:p w:rsidR="001705E3" w:rsidRDefault="001C741B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1705E3" w:rsidRDefault="001705E3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przeciętnego wynagrodzenia,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wyżej, przyjmowana jest na dzień zawarcia Umowy. 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Środki,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 1, przyznaje Dyrektor z upoważnienia Prezydenta po uzyskaniu pozytywnej opinii Prezydenta.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jednorazowo przyznanych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ilość zawieranych Um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danym roku jest ograniczona wysokością przyznanych Urzędowi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§3 ust. 1 Regulaminu nie mogą być przyznane bezrobotnemu,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działaniach w ramach Programu Aktywizacja i Integracja,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art. 62a Ustawy,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Integracja,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art. 62a Ustawy, wykonywanie prac społecznie użytecznych lub innej formy pomocy określonej w Ustawie,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Ustawie;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1705E3" w:rsidRDefault="001705E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§3 ust. 1 Regulaminu nie mogą być przyznane bezrobotnemu, absolwentowi CIS lub absolwentowi KIS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otrzymał dotychczas z Funduszu Pracy lub innych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zakończeniu działalności gospodarczej w dniu przypadającym w okresie przed upływem co najmniej 12 miesięcy bezpośrednio poprzedzających dzień złożenia wniosku;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(t.j. Dz. U. 2017r., poz. 2204</w:t>
      </w:r>
      <w:r w:rsidRPr="00B901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późn. zm.); 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złożył wniosek do innego starosty o przyznanie dofinansowania lub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założenie lub przystąpienie do spółdzielni socjalnej;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złożył wniosek niekompletny i nieprawidłowo sporządzony.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3 ust. 1 Regulaminu nie mogą być przyznane opiekunowi jeżeli nie zostaną spełnione warunki,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 2 pkt 1 i pkt 3-6.</w:t>
      </w:r>
    </w:p>
    <w:p w:rsidR="001705E3" w:rsidRDefault="001705E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Środki na podjęcie działalności gospodarczej mogą być przeznaczone na: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oprogramowania komputerowego;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jednego komputera (stacjonarnego lub laptopa);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mieszkaniu);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kiosku, pawilonu handlowego;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środka transportu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w kwocie nie przekraczającej 30%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wyjątkiem działalności w zakresie transportu krajowego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b taks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wkami, gdzie zakup samochodu może być dokonany za 100% przyznanej dotacji;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surowc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będących przedmiotem działalności w części  nieprzekraczającej 20%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materiałów reklamowych w części nie przekraczającej 15%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(nie dotyczy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utworzenia strony www);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wykonanie strony internetowej;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opłatę wpisowego lub wkładu do spółdzielni socjalnej.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Środki na podjęcie działalności gospodarczej,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§3 ust. 1, nie mogą być</w:t>
      </w:r>
    </w:p>
    <w:p w:rsidR="001705E3" w:rsidRDefault="001C741B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wynagrodzenia pracownik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składki na ubezpieczenie społeczne;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innych instrument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koszty podłączenia wszelkich medi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(np. linii telefonicznych, internetu, przyłączy kanalizacyjnych, energetycznych, gazowych)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oraz koszty abonament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wydatki inwestycyjne obejmujące m.in. koszty budowy i remontu lokalu;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ziemi i nieruchomości z wyjątkiem kiosk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pawilon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handlowych;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zakup, przejęcie już istniejącej działalności gospodarczej;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telefonu kom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odzieży roboczej;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leasing maszyn,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finansowanie szkoleń, kurs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licencji;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trwałych (środki trwałe – maszyny, urządzenia, środki transportu, wyposażenie i inne rzeczy bądź przedmioty,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w przypadku działalności w zakresie usług lombardowych;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spłatę </w:t>
      </w:r>
      <w:r>
        <w:rPr>
          <w:b w:val="0"/>
          <w:bCs w:val="0"/>
          <w:sz w:val="24"/>
          <w:szCs w:val="24"/>
          <w:lang w:val="es-ES_tradnl"/>
        </w:rPr>
        <w:t>zad</w:t>
      </w:r>
      <w:r>
        <w:rPr>
          <w:b w:val="0"/>
          <w:bCs w:val="0"/>
          <w:sz w:val="24"/>
          <w:szCs w:val="24"/>
        </w:rPr>
        <w:t>łużenia wynikającego z zacią</w:t>
      </w:r>
      <w:r>
        <w:rPr>
          <w:b w:val="0"/>
          <w:bCs w:val="0"/>
          <w:sz w:val="24"/>
          <w:szCs w:val="24"/>
          <w:lang w:val="it-IT"/>
        </w:rPr>
        <w:t>gni</w:t>
      </w:r>
      <w:r>
        <w:rPr>
          <w:b w:val="0"/>
          <w:bCs w:val="0"/>
          <w:sz w:val="24"/>
          <w:szCs w:val="24"/>
        </w:rPr>
        <w:t>ętych zobowiązań;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wycenę rzeczoznawcy majątkowego;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kasy fiskalnej;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koszty przesyłki, dostawy, transportu.</w:t>
      </w:r>
    </w:p>
    <w:p w:rsidR="001705E3" w:rsidRDefault="001705E3">
      <w:pPr>
        <w:pStyle w:val="Tekstpodstawowywcity"/>
        <w:ind w:left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Powyższa lista wyłączeń z dotacji nie jest zamknięta w ramach poszczeg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lnych wniosk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>że wyłączyć z dotacji także inne wnioskowane ze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Funduszu Pracy wydatki niemieszczące się w powyższym zestawieniu wyłączeń przedmiotowych.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E31D86" w:rsidRDefault="00E31D86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Wydatkowanie przyznanych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§3 ust. 1 Regulaminu dokumentowane będzie na podstawie faktur, um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cywilno-prawnych oraz innych dowod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wiarygodny poniesienie określonych wydatk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Dokumenty wymienione wyżej winny zawierać następujące dane: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sprzedawcy oraz dane nabywcy,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wystawienia dokumentu,</w:t>
      </w:r>
    </w:p>
    <w:p w:rsidR="001705E3" w:rsidRDefault="001C741B">
      <w:pPr>
        <w:pStyle w:val="Bezodstpw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sprzedaży (datę dokonania lub zakończenia dostawy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wykonania  usługi, o ile jest określona i róż</w:t>
      </w:r>
      <w:r>
        <w:rPr>
          <w:rFonts w:ascii="Times New Roman" w:hAnsi="Times New Roman"/>
          <w:sz w:val="24"/>
          <w:szCs w:val="24"/>
          <w:lang w:val="it-IT"/>
        </w:rPr>
        <w:t>ni si</w:t>
      </w:r>
      <w:r>
        <w:rPr>
          <w:rFonts w:ascii="Times New Roman" w:hAnsi="Times New Roman"/>
          <w:sz w:val="24"/>
          <w:szCs w:val="24"/>
        </w:rPr>
        <w:t>ę od daty faktury),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nazwę (rodzaj) zakupionego towaru lub usł</w:t>
      </w:r>
      <w:r>
        <w:rPr>
          <w:rFonts w:ascii="Times New Roman" w:hAnsi="Times New Roman"/>
          <w:sz w:val="24"/>
          <w:szCs w:val="24"/>
          <w:lang w:val="it-IT"/>
        </w:rPr>
        <w:t>ugi,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formę i termin zapłaty.</w:t>
      </w:r>
    </w:p>
    <w:p w:rsidR="001705E3" w:rsidRDefault="001C741B">
      <w:pPr>
        <w:pStyle w:val="Bezodstpw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zostaną uwzględnione w rozliczeniu wydatki dokumentowane w formie paragon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fiskalnych.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>Wnioskodawca zobowiązany jest do wydatkowania otrzymanych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zgodnie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przeznaczeniem.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>
        <w:rPr>
          <w:b w:val="0"/>
          <w:bCs w:val="0"/>
          <w:sz w:val="24"/>
          <w:szCs w:val="24"/>
        </w:rPr>
        <w:tab/>
        <w:t>Za poniesienie wydatku uznaje się moment faktycznego dokonania zapłaty tj. dokonania przelewu, zapłaty got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wką, płatności kartą płatniczą.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 przypadku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realizowanych za pośrednictwem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trzecich (płatność                                      za pobraniem, system PayU, PayPal, itp.) wymagane jest dostarczenie informacji                               od sprzedawcy o otrzymaniu zapłaty lub o przyjęciu zapłaty przez pośrednika (kuriera)                     za dostarczony towar.</w:t>
      </w:r>
    </w:p>
    <w:p w:rsidR="001705E3" w:rsidRDefault="001705E3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  <w:t>W przypadku zam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wienia wykonania określonych czynności w ramach umowy o dzieło lub umowy zlecenia Wnioskodawca zobowiązany jest do dołączenia do umowy dokumentu potwierdzającego wykonanie dzieła /zlecenia i zapłatę wynagrodzenia.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>W przypadku posiadania faktur lub innych dokument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zakupu w języku obcym, wymagane jest ich tłumaczenie na język polski przez przysięgłego tłumacza. Tłumaczenia dokonuje Wnioskodawca na sw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ab/>
        <w:t>W przypadku zakupu rzeczy używanych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>że zażądać wyceny rzeczoznawcy. Wyceny dokonuje Wnioskodawca na sw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10. </w:t>
      </w:r>
      <w:r>
        <w:rPr>
          <w:b w:val="0"/>
          <w:bCs w:val="0"/>
          <w:sz w:val="24"/>
          <w:szCs w:val="24"/>
        </w:rPr>
        <w:tab/>
        <w:t>W ramach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o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rych mowa w §3 ust. 1 Regulaminu, nie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zostaną rozliczone zakupy dokonane na współ</w:t>
      </w:r>
      <w:r w:rsidRPr="00B90126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łasność.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 Wnioskodawca nie może zbyć, wynajmować ani użyczać przedmiot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ani praw  zakupionych ze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przeznaczonych na rozpoczęcie działalności gospodarczej </w:t>
      </w:r>
      <w:r>
        <w:rPr>
          <w:b w:val="0"/>
          <w:bCs w:val="0"/>
          <w:sz w:val="24"/>
          <w:szCs w:val="24"/>
        </w:rPr>
        <w:lastRenderedPageBreak/>
        <w:t>(wymienionych w §5 ust. 1 Regulaminu).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Wyłączona z dofinansowania jest: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sektorach rybołówstwa i akwakultury;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produkcji podstawowej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rolnych wymienionych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załączniku I do Traktatu ustanawiającego Wsp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lnotę Europejską;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rolnych wymienionych w załączniku I do Traktatu;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tworzeniem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prowadzeniem działalności eksportowej;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uwarunkowana pierwszeństwem korzystania z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krajowych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stosunku do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sprowadzanych z zagranicy;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pomoc na nabycie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do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celu prowadzenia działalności zarobkowej w zakresie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sezonowa, weekendowa;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obwoźnego i obnośnego;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ruchomych plac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wek gastronomicznych;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prowadzonego poza stałym lokalem;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prowadzona w formie franczyzy;</w:t>
      </w:r>
    </w:p>
    <w:p w:rsidR="001705E3" w:rsidRPr="004C620F" w:rsidRDefault="001C741B">
      <w:pPr>
        <w:pStyle w:val="Tekstpodstawowywcity"/>
        <w:numPr>
          <w:ilvl w:val="3"/>
          <w:numId w:val="15"/>
        </w:numPr>
        <w:jc w:val="left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działalność prowadzona na rzecz  ostatniego pracodawcy, u kt</w:t>
      </w:r>
      <w:r w:rsidRPr="004C620F">
        <w:rPr>
          <w:b w:val="0"/>
          <w:iCs/>
          <w:color w:val="auto"/>
          <w:sz w:val="24"/>
          <w:szCs w:val="24"/>
          <w:lang w:val="es-ES_tradnl"/>
        </w:rPr>
        <w:t>ó</w:t>
      </w:r>
      <w:r w:rsidRPr="004C620F">
        <w:rPr>
          <w:b w:val="0"/>
          <w:iCs/>
          <w:color w:val="auto"/>
          <w:sz w:val="24"/>
          <w:szCs w:val="24"/>
        </w:rPr>
        <w:t>rego Wnioskodawca był zatrudniony na umowę o pracę w okresie 12 miesięcy przed złożeniem wniosku o dofinansowanie;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gospodarcza w miejscu prowadzenia istniejącej, zawieszonej lub zlikwidowanej działalności gospodarczej innego podmiotu bądź w sąsiedztwie miejsca wykonywania takiej działalności, gdy podejmowana działalność obejmuje ten sam, bądź zbliżony przedmiot działalnoś</w:t>
      </w:r>
      <w:r>
        <w:rPr>
          <w:b w:val="0"/>
          <w:bCs w:val="0"/>
          <w:sz w:val="24"/>
          <w:szCs w:val="24"/>
          <w:lang w:val="it-IT"/>
        </w:rPr>
        <w:t>ci, b</w:t>
      </w:r>
      <w:r>
        <w:rPr>
          <w:b w:val="0"/>
          <w:bCs w:val="0"/>
          <w:sz w:val="24"/>
          <w:szCs w:val="24"/>
        </w:rPr>
        <w:t>ądź prowadzona będzie przy użyciu całości lub części przedsiębiorstwa zorganizowanego przez ten podmiot;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założenie spółki z inną osobą (z wyjątkiem założenia lub przystąpienia do istniejącej spółdzielni socjalnej);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bankiem;</w:t>
      </w:r>
    </w:p>
    <w:p w:rsidR="001705E3" w:rsidRDefault="001C741B">
      <w:pPr>
        <w:pStyle w:val="Tekstpodstawowywcity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prowadzeniem salonu gier hazardowych.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Środki nie mogą być udzielone jeż</w:t>
      </w:r>
      <w:r>
        <w:rPr>
          <w:b w:val="0"/>
          <w:bCs w:val="0"/>
          <w:sz w:val="24"/>
          <w:szCs w:val="24"/>
          <w:lang w:val="it-IT"/>
        </w:rPr>
        <w:t>eli: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stałego miejsca zameldowania;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nie wskaże we wniosku o dofinansowanie lokalu do prowadzenia planowanej działalności gospodarczej;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osoby pozostające we wsp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lnym gospodarstwie domowym z Wnioskodawcą </w:t>
      </w:r>
      <w:r>
        <w:rPr>
          <w:b w:val="0"/>
          <w:bCs w:val="0"/>
          <w:sz w:val="24"/>
          <w:szCs w:val="24"/>
        </w:rPr>
        <w:lastRenderedPageBreak/>
        <w:t>prowadzą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Urzędzie  nastąpiło na prośbę lub z winy Bezrobotnego;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TRYB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B90126">
        <w:rPr>
          <w:rFonts w:ascii="Times New Roman" w:hAnsi="Times New Roman"/>
          <w:b/>
          <w:bCs/>
          <w:sz w:val="24"/>
          <w:szCs w:val="24"/>
        </w:rPr>
        <w:t>ADANIA I ROZPATRYWANIA WNIOSK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 dofinansowanie. Dokumenty wystawione w języku obcym nie będą brane pod uwagę przy rozpatrywaniu wniosku.</w:t>
      </w:r>
    </w:p>
    <w:p w:rsidR="001705E3" w:rsidRDefault="001C741B">
      <w:pPr>
        <w:pStyle w:val="Bezodstpw"/>
        <w:numPr>
          <w:ilvl w:val="2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wszystkie zaświadczenia o pomocy de minimis jakie otrzymał w roku,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ubiega się o pomoc oraz w ciągu 2 poprzedzających go lat, albo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 o wielkości pomocy de minimis otrzymanej w tym okresie, albo oświadczenia o nieotrzymaniu takiej pomocy w tym okresie;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informacje niezbędne do udzielenia pomocy de minimis i pomocy publicznej, dotyczące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Wnioskodawcy i zamierzonej do prowadzenia przed niego działalności gospodarczej.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celem wstępnego rozpatrywania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Urzędu.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jest organem powołanym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rozpatrywania i opiniowania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 przyznania bezrobotnemu jednorazowych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rozpatrywaniu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komisja kieruje się przepisami prawa i ustaleniami Regulaminu, może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w tym zakresie zasięgnąć opinii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wnego </w:t>
      </w:r>
      <w:r>
        <w:rPr>
          <w:rFonts w:ascii="Times New Roman" w:hAnsi="Times New Roman"/>
          <w:sz w:val="24"/>
          <w:szCs w:val="24"/>
        </w:rPr>
        <w:lastRenderedPageBreak/>
        <w:t>traktowania wnioskujących o przyznanie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 w:rsidP="00B90126"/>
    <w:p w:rsidR="001705E3" w:rsidRPr="004C620F" w:rsidRDefault="001C741B">
      <w:pPr>
        <w:pStyle w:val="Akapitzlist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Przy rozpatrywaniu wniosk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Ubiegającym się </w:t>
      </w:r>
      <w:r w:rsidRPr="00B9012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środki na podjęcie działalności gospodarczej nie przysługuje roszczenie o zawarcie umowy.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w miarę posiadania przez Urząd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 przeznaczonych na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ogłasza konkurs, wskazuje wysokość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finansowych, jakie zostaną rozdzielone pomiędzy wnioskodawc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termin składania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Ogłoszenie o konkursie zamieszczane jest w gablocie informacyjnej na terenie Urzędu oraz na stronie internetowej </w:t>
      </w:r>
      <w:r>
        <w:rPr>
          <w:rFonts w:ascii="Times New Roman" w:hAnsi="Times New Roman"/>
          <w:sz w:val="24"/>
          <w:szCs w:val="24"/>
          <w:u w:val="single"/>
        </w:rPr>
        <w:t>muptorun.praca.gov.pl</w:t>
      </w:r>
      <w:r>
        <w:rPr>
          <w:rFonts w:ascii="Times New Roman" w:hAnsi="Times New Roman"/>
          <w:sz w:val="24"/>
          <w:szCs w:val="24"/>
        </w:rPr>
        <w:t>. Nab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trwa co najmniej 14 dni.</w:t>
      </w:r>
    </w:p>
    <w:p w:rsidR="001705E3" w:rsidRDefault="001705E3">
      <w:pPr>
        <w:jc w:val="both"/>
        <w:rPr>
          <w:u w:val="single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wnoznaczne z przyznaniem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1705E3" w:rsidRDefault="001705E3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złożył wniosek ma obowiązek zgłaszania się na wyznaczone przez Urząd terminy do czasu pisemnego zwolnienia  przez Urząd z tego obowiązku.</w:t>
      </w:r>
    </w:p>
    <w:p w:rsidR="001705E3" w:rsidRDefault="001705E3">
      <w:pPr>
        <w:pStyle w:val="Akapitzlist"/>
        <w:widowControl w:val="0"/>
        <w:spacing w:after="0"/>
        <w:ind w:left="0"/>
        <w:jc w:val="both"/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przejdą ocenę formalną, a łączna ich wartość przekraczać będzie limit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w dyspozycji Urzędu w pierwszej kolejności rozpatrywane będą wnioski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składane przez wnioskodawc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Urząd jest właściwy ze względu na miejsce zarejestrowania jako osoby bezrobotnej. </w:t>
      </w:r>
    </w:p>
    <w:p w:rsidR="001705E3" w:rsidRDefault="001705E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PODSTAWOWE POSTANOWIENIA UMOWY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Wnioskodawcy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 jest dokonywane na podstawie Umowy zawartej na piśmie pod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rygorem nieważności. 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zawiera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lności zobowiązanie bezrobotnego do: 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podjęcia w terminie określonym w umowie działalności gospodarczej (w ciągu 30 dni od dnia podpisania umowy);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wydatkowania, udokumentowania i całkowitego rozliczenia otrzymanych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terminie nieprzekraczającym 2 miesięcy od dnia podjęcia działalności (wydatkowanie dotacji rozpoczyna się od dnia następnego po dniu wpływu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wskazany rachunek bankowy Wnioskodawcy);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wnowartości odliczonego lub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conego zgodnie z ustawą z dnia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 marca 2004 r.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(t.j.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 Dz. U. z 2017r.,  poz. 1221 z późn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)</w:t>
      </w:r>
      <w:r w:rsidRPr="00B9012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podatku naliczonego dotyczącego zakupionych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usług w ramach otrzymanych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terminie: 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usł</w:t>
      </w:r>
      <w:r>
        <w:rPr>
          <w:rFonts w:ascii="Times New Roman" w:hAnsi="Times New Roman"/>
          <w:sz w:val="24"/>
          <w:szCs w:val="24"/>
          <w:lang w:val="de-DE"/>
        </w:rPr>
        <w:t xml:space="preserve">ug,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wykazano kwotę podatku naliczonego z tego tytułu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gdy z deklaracji za dany okres rozliczeniowy wynika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podatku podlegająca wpłacie do urzędu skarbowego lub kwota do przeniesienia na następny okres rozliczeniowy,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usług,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wykazano kwotę podatku naliczonego z tego tytułu, za dany okres rozliczeniowy wynika kwota do zwrotu;</w:t>
      </w:r>
    </w:p>
    <w:p w:rsidR="001705E3" w:rsidRDefault="001C741B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przerwy w jej prowadzeniu z powodu choroby lub korzystania ze 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rehabilitacyjnego;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zgodnie z celem na jaki zostały przyznane;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w terminie wskazanym w umowie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fakt zarejestrowania i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poinformowania Urzędu o zmianach mogących mieć wpływ na realizację umowy;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wniosku;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zewnętrznego oznakowania lokalu (miejsca prowadzonej działalności gospodarczej) oraz środka transportu zakupionego z dotacji;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przechowywania rzeczy (urządzeń, maszyn, narzędzi itp.)  zakupionych w ramach Umowy w miejscu prowadzenia działalności;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nienaruszenia innych postanowień niniejszej umowy.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może przedłużyć termin określony w ust. 2 pkt 2 w przypadku, gdy za ich przedłużeniem przemawiają względy społeczne,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lności przypadki losowe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sytuacje niezależne od Wnioskodawcy (fakt ten musi być udokumentowany niezwłocznie). 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niedotrzymania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określonych w ust. 2 niniejszych kryteri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Prezydent odstąpi od umowy. Wnioskodawca,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remu zostały jednorazowo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przyznane środki na podjęcie działalności gospodarczej zobowiązany jest do ich zwrotu w terminie 30 dni od dnia otrzymania wezwania wraz z odsetkami ustawowymi </w:t>
      </w:r>
      <w:r>
        <w:rPr>
          <w:rFonts w:ascii="Times New Roman" w:hAnsi="Times New Roman"/>
          <w:sz w:val="24"/>
          <w:szCs w:val="24"/>
        </w:rPr>
        <w:lastRenderedPageBreak/>
        <w:t>naliczonymi od dnia ich uzyskania. Brak spłaty spowoduje, że Prezydent wystąpi na drogę postępowania sądowego przeciwko dłużnikowi, a w przypadku ustanowienia zabezpieczenia w formie poręczenia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także w stosunku do poręczycieli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odpowiadających solidarnie. </w:t>
      </w:r>
    </w:p>
    <w:p w:rsidR="001705E3" w:rsidRDefault="001705E3"/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otrzymał z Funduszu Pracy jednorazowo środki na podjęcie działalności gospodarczej, jest obowiązany dokonać zwrotu, w terminie 30 dni od dnia doręczenia wezwania, otrzymanych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tszy niż 12 miesięcy. W przypadku naruszenia innych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umowy stosuje się przepis ust. 4.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śmierci osoby,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zostały przyznane środki w okresie od dnia zawarcia umowy o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do upływu 12 miesięcy prowadzenia tej działalności dochodzi się zwrotu wypłaconych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wysokości proporcjonalnej do okresu nieprowadzenia działalności gospodarczej. Od kwoty podlegającej zwrotowi nie nalicza się odsetek ustawowych. </w:t>
      </w:r>
    </w:p>
    <w:p w:rsidR="001705E3" w:rsidRPr="004C620F" w:rsidRDefault="001705E3">
      <w:pPr>
        <w:pStyle w:val="Bezodstpw"/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Wypł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it-IT"/>
        </w:rPr>
        <w:t xml:space="preserve">ata 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środk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1705E3" w:rsidRDefault="001705E3">
      <w:pPr>
        <w:pStyle w:val="Bezodstpw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C741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PRAWID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OWEGO WYKORZYSTANIA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PRZYZNANYCH </w:t>
      </w:r>
      <w:r>
        <w:rPr>
          <w:rFonts w:ascii="Times New Roman" w:hAnsi="Times New Roman"/>
          <w:b/>
          <w:bCs/>
          <w:sz w:val="24"/>
          <w:szCs w:val="24"/>
        </w:rPr>
        <w:t>ŚRODKÓ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W celu zapewnienia dotrzymania warunk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umowy Urząd uzależnia jej zawarcie od przedstawienia przez Wnioskodawcę odpowiedniego zabezpieczenia.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Dopuszczalne formy zabezpieczenia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1705E3" w:rsidRDefault="001C741B">
      <w:pPr>
        <w:pStyle w:val="Bezodstpw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Weksel z poręczeniem wekslowym</w:t>
      </w: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Zabezpieczeniem udzielonych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 na wypadek konieczności ich zwrotu jest weksel poręczony przez:</w:t>
      </w:r>
    </w:p>
    <w:p w:rsidR="001705E3" w:rsidRDefault="001C741B">
      <w:pPr>
        <w:pStyle w:val="Tekstpodstawowywcity"/>
        <w:ind w:left="1418" w:hanging="851"/>
        <w:jc w:val="both"/>
      </w:pPr>
      <w:r>
        <w:rPr>
          <w:b w:val="0"/>
          <w:bCs w:val="0"/>
          <w:sz w:val="24"/>
          <w:szCs w:val="24"/>
        </w:rPr>
        <w:t xml:space="preserve">              -  dw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ch poręczycieli osiągających średni miesięczny doch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2.300,00z</w:t>
      </w:r>
      <w:r>
        <w:rPr>
          <w:sz w:val="24"/>
          <w:szCs w:val="24"/>
        </w:rPr>
        <w:t>ł.</w:t>
      </w:r>
      <w:r>
        <w:rPr>
          <w:b w:val="0"/>
          <w:bCs w:val="0"/>
          <w:sz w:val="24"/>
          <w:szCs w:val="24"/>
        </w:rPr>
        <w:t xml:space="preserve"> (każda osoba) lub</w:t>
      </w:r>
    </w:p>
    <w:p w:rsidR="001705E3" w:rsidRDefault="001C741B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-  jednego poręczyciela osiągającego średni miesięczny doch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4.600,00z</w:t>
      </w:r>
      <w:r>
        <w:rPr>
          <w:sz w:val="24"/>
          <w:szCs w:val="24"/>
        </w:rPr>
        <w:t>ł.</w:t>
      </w:r>
    </w:p>
    <w:p w:rsidR="001705E3" w:rsidRDefault="001705E3">
      <w:pPr>
        <w:pStyle w:val="Tekstpodstawowywcity"/>
        <w:ind w:left="1418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Ponadto poręczycielem może być osoba fizyczna: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zatrudniona w Polsce,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nie będąca współmałżonkiem wnioskodawcy,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ra nie udzielił</w:t>
      </w:r>
      <w:r>
        <w:rPr>
          <w:b w:val="0"/>
          <w:bCs w:val="0"/>
          <w:sz w:val="24"/>
          <w:szCs w:val="24"/>
          <w:lang w:val="es-ES_tradnl"/>
        </w:rPr>
        <w:t>a por</w:t>
      </w:r>
      <w:r>
        <w:rPr>
          <w:b w:val="0"/>
          <w:bCs w:val="0"/>
          <w:sz w:val="24"/>
          <w:szCs w:val="24"/>
        </w:rPr>
        <w:t>ęczenia na niezakończone umowy w sprawie udzielenia dotacji i   refundacji,</w:t>
      </w:r>
    </w:p>
    <w:p w:rsidR="001705E3" w:rsidRDefault="001C741B">
      <w:pPr>
        <w:pStyle w:val="Tekstpodstawowywcity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ra nie posiada nie rozliczonej umowy dotacji i refundacji,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pozostająca w stosunku pracy z pracodawcą nie będącym w stanie likwidacji lub upadłości, zatrudniona na czas nieokreślony lub określony nie kr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tszy niż 2 lata licząc od dnia podpisania umowy przez wnioskodawcę, nie będąca w okresie wypowiedzenia, wobec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są ustanowione zajęcia  sądowe i administracyjne,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posiadająca prawo do emerytury lub renty stałej,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prowadząca działalność gospodarczą,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ra to działalność nie jest w stanie likwidacji lub upadłości (z wyłączeniem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formie karty podatkowej oraz w formie ryczałtu od przychod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ewidencjonowanych),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wobec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jest prowadzone postępowanie egzekucyjne,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wieku do 70 lat,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zameldowana i zamieszkująca w Polsce.</w:t>
      </w:r>
    </w:p>
    <w:p w:rsidR="001705E3" w:rsidRDefault="001705E3">
      <w:pPr>
        <w:pStyle w:val="Tekstpodstawowywcity"/>
        <w:ind w:left="1701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Wymagane dokumenty (kt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r>
        <w:rPr>
          <w:b w:val="0"/>
          <w:bCs w:val="0"/>
          <w:sz w:val="24"/>
          <w:szCs w:val="24"/>
          <w:u w:val="single"/>
        </w:rPr>
        <w:t>ęczyciel pozostający w stosunku pracy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dochodach (na druku Urzędu)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r>
        <w:rPr>
          <w:b w:val="0"/>
          <w:bCs w:val="0"/>
          <w:sz w:val="24"/>
          <w:szCs w:val="24"/>
          <w:u w:val="single"/>
        </w:rPr>
        <w:t>ęczyciel będący emerytem lub rencistą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</w:pPr>
      <w:r>
        <w:rPr>
          <w:b w:val="0"/>
          <w:bCs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przyznaniu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emerytury lub renty</w:t>
      </w:r>
    </w:p>
    <w:p w:rsidR="001705E3" w:rsidRDefault="001C741B">
      <w:pPr>
        <w:pStyle w:val="Tekstpodstawowywcity"/>
        <w:spacing w:line="200" w:lineRule="atLeast"/>
        <w:ind w:left="1560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r>
        <w:rPr>
          <w:b w:val="0"/>
          <w:bCs w:val="0"/>
          <w:sz w:val="24"/>
          <w:szCs w:val="24"/>
          <w:u w:val="single"/>
        </w:rPr>
        <w:t>ęczyciel prowadzący działalność gospodarczą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wpisie do ewidencji działalności gospodarczej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PIT za ubiegły rok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 podatkami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ze składkami ZUS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Dodatkowe dokumenty: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dow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d osobisty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zgonu współmałżonka poręczyciela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rozwodu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umowa o rozdzielności majątkowej.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o przyznanie bezrobotnemu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 notarialny o poddaniu się egzekucji przez dłużnika.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3-krotność przyznanego dofinansowania. W przypadku wyboru tej formy zabezpieczenia jej akceptacja przez Dyrektora uzależniona będzie od przedstawionych przez Wnioskodawcę informacji i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dotyczących majątku ruchomego i nieruchomego, z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rego może on poddać się egzekucji. 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wyżej wymienionego zabezpieczenia ponosi wnioskodawca.</w:t>
      </w:r>
    </w:p>
    <w:p w:rsidR="00B90126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podpisania Umowy do Urzędu zgłaszają się Wnioskodawca i współmałżonek Wnioskodawcy. Podpisanie Umowy o przyznanie bezrobotnemu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pt-PT"/>
        </w:rPr>
      </w:pP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lang w:val="pt-PT"/>
        </w:rPr>
        <w:t>Por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ęczenie Toruńskiego Funduszu Poręczeń Kredytowych Sp. z o.o. w Toruniu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oraz weksel in blanco z poręczeniem wekslowym przez jednego poręczyciela osiągającego średni miesięcy doch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d brutto z 3 ostatnich miesięcy w wysokości </w:t>
      </w:r>
      <w:r w:rsid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                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co najmniej 2.300,00 zł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przyznanie bezrobotnemu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1.W szczeg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spos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inny, niż określony w niniejszym Regulaminie.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 Postanowienia Regulaminu mogą być zmienione, gdy zmianie ulegną warunki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 Regulamin wchodzi w życie z dniem </w:t>
      </w:r>
      <w:r w:rsidR="00F6109D">
        <w:rPr>
          <w:b w:val="0"/>
          <w:bCs w:val="0"/>
          <w:sz w:val="24"/>
          <w:szCs w:val="24"/>
        </w:rPr>
        <w:t>18.01.2018r.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56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Dyrektor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dla Miasta Torunia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Toruń, dnia</w:t>
      </w:r>
      <w:r w:rsidR="00F6109D">
        <w:rPr>
          <w:b w:val="0"/>
          <w:bCs w:val="0"/>
          <w:sz w:val="24"/>
          <w:szCs w:val="24"/>
        </w:rPr>
        <w:t xml:space="preserve"> 18.01.2018r.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</w:pPr>
    </w:p>
    <w:sectPr w:rsidR="001705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BB" w:rsidRDefault="005B53BB">
      <w:r>
        <w:separator/>
      </w:r>
    </w:p>
  </w:endnote>
  <w:endnote w:type="continuationSeparator" w:id="0">
    <w:p w:rsidR="005B53BB" w:rsidRDefault="005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C741B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9170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BB" w:rsidRDefault="005B53BB">
      <w:r>
        <w:separator/>
      </w:r>
    </w:p>
  </w:footnote>
  <w:footnote w:type="continuationSeparator" w:id="0">
    <w:p w:rsidR="005B53BB" w:rsidRDefault="005B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705E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BA2"/>
    <w:multiLevelType w:val="hybridMultilevel"/>
    <w:tmpl w:val="0EC4F890"/>
    <w:styleLink w:val="Zaimportowanystyl6"/>
    <w:lvl w:ilvl="0" w:tplc="355C83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2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2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F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6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2D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90A66"/>
    <w:multiLevelType w:val="hybridMultilevel"/>
    <w:tmpl w:val="5CD6093C"/>
    <w:styleLink w:val="Zaimportowanystyl7"/>
    <w:lvl w:ilvl="0" w:tplc="90267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E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808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175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A3A1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16E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E9C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AACA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718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86125"/>
    <w:multiLevelType w:val="hybridMultilevel"/>
    <w:tmpl w:val="1542CC82"/>
    <w:numStyleLink w:val="Zaimportowanystyl2"/>
  </w:abstractNum>
  <w:abstractNum w:abstractNumId="3" w15:restartNumberingAfterBreak="0">
    <w:nsid w:val="10390EDC"/>
    <w:multiLevelType w:val="hybridMultilevel"/>
    <w:tmpl w:val="5B5E9714"/>
    <w:styleLink w:val="Zaimportowanystyl4"/>
    <w:lvl w:ilvl="0" w:tplc="80E083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CE4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B6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462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8C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57F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D3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05FE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BB2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C0EE0"/>
    <w:multiLevelType w:val="hybridMultilevel"/>
    <w:tmpl w:val="1F5EA33A"/>
    <w:numStyleLink w:val="Zaimportowanystyl9"/>
  </w:abstractNum>
  <w:abstractNum w:abstractNumId="5" w15:restartNumberingAfterBreak="0">
    <w:nsid w:val="223345BE"/>
    <w:multiLevelType w:val="hybridMultilevel"/>
    <w:tmpl w:val="B2085038"/>
    <w:styleLink w:val="Zaimportowanystyl12"/>
    <w:lvl w:ilvl="0" w:tplc="CB22603E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04900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C3D2A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E43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89C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27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F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65410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C5BA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B33E1"/>
    <w:multiLevelType w:val="hybridMultilevel"/>
    <w:tmpl w:val="D9D670A4"/>
    <w:styleLink w:val="Zaimportowanystyl14"/>
    <w:lvl w:ilvl="0" w:tplc="BF000E5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AB25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46AC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E0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4032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F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2250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F68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EE72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9B20D2"/>
    <w:multiLevelType w:val="hybridMultilevel"/>
    <w:tmpl w:val="D9D670A4"/>
    <w:numStyleLink w:val="Zaimportowanystyl14"/>
  </w:abstractNum>
  <w:abstractNum w:abstractNumId="8" w15:restartNumberingAfterBreak="0">
    <w:nsid w:val="2A553197"/>
    <w:multiLevelType w:val="hybridMultilevel"/>
    <w:tmpl w:val="B0B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0D6A"/>
    <w:multiLevelType w:val="hybridMultilevel"/>
    <w:tmpl w:val="1F86D158"/>
    <w:numStyleLink w:val="Zaimportowanystyl8"/>
  </w:abstractNum>
  <w:abstractNum w:abstractNumId="10" w15:restartNumberingAfterBreak="0">
    <w:nsid w:val="44355917"/>
    <w:multiLevelType w:val="hybridMultilevel"/>
    <w:tmpl w:val="1F5EA33A"/>
    <w:styleLink w:val="Zaimportowanystyl9"/>
    <w:lvl w:ilvl="0" w:tplc="89B42A1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1F1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225D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4D18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09E08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C40A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BC0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E070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640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E1438"/>
    <w:multiLevelType w:val="hybridMultilevel"/>
    <w:tmpl w:val="DC8C98AE"/>
    <w:styleLink w:val="Zaimportowanystyl5"/>
    <w:lvl w:ilvl="0" w:tplc="F0DCBD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A33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F1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C0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5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CDF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D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4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CD4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AF2116"/>
    <w:multiLevelType w:val="hybridMultilevel"/>
    <w:tmpl w:val="C7AC9F3E"/>
    <w:numStyleLink w:val="Zaimportowanystyl11"/>
  </w:abstractNum>
  <w:abstractNum w:abstractNumId="13" w15:restartNumberingAfterBreak="0">
    <w:nsid w:val="4AB373FA"/>
    <w:multiLevelType w:val="hybridMultilevel"/>
    <w:tmpl w:val="1542CC82"/>
    <w:styleLink w:val="Zaimportowanystyl2"/>
    <w:lvl w:ilvl="0" w:tplc="0FDE34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A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EF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E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210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4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64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C8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605A44"/>
    <w:multiLevelType w:val="hybridMultilevel"/>
    <w:tmpl w:val="5B5E9714"/>
    <w:numStyleLink w:val="Zaimportowanystyl4"/>
  </w:abstractNum>
  <w:abstractNum w:abstractNumId="15" w15:restartNumberingAfterBreak="0">
    <w:nsid w:val="4F0543DA"/>
    <w:multiLevelType w:val="hybridMultilevel"/>
    <w:tmpl w:val="6480F504"/>
    <w:styleLink w:val="Zaimportowanystyl1"/>
    <w:lvl w:ilvl="0" w:tplc="232CBF3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6D44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2DB04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F10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212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503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8EE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40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E8808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713421"/>
    <w:multiLevelType w:val="hybridMultilevel"/>
    <w:tmpl w:val="1F86D158"/>
    <w:styleLink w:val="Zaimportowanystyl8"/>
    <w:lvl w:ilvl="0" w:tplc="AA82B58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6B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964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600B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45B0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8CC4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140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B3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0A944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C4572E"/>
    <w:multiLevelType w:val="hybridMultilevel"/>
    <w:tmpl w:val="0EC4F890"/>
    <w:numStyleLink w:val="Zaimportowanystyl6"/>
  </w:abstractNum>
  <w:abstractNum w:abstractNumId="18" w15:restartNumberingAfterBreak="0">
    <w:nsid w:val="5CA73A5E"/>
    <w:multiLevelType w:val="hybridMultilevel"/>
    <w:tmpl w:val="ECC498EC"/>
    <w:styleLink w:val="Zaimportowanystyl13"/>
    <w:lvl w:ilvl="0" w:tplc="FE78FF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3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8BF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ED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09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CD3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3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3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35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E65C1"/>
    <w:multiLevelType w:val="hybridMultilevel"/>
    <w:tmpl w:val="C7AC9F3E"/>
    <w:styleLink w:val="Zaimportowanystyl11"/>
    <w:lvl w:ilvl="0" w:tplc="AE20883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EEED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BF0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22E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7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3E18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5E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C6CF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18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691CF4"/>
    <w:multiLevelType w:val="hybridMultilevel"/>
    <w:tmpl w:val="B2085038"/>
    <w:numStyleLink w:val="Zaimportowanystyl12"/>
  </w:abstractNum>
  <w:abstractNum w:abstractNumId="21" w15:restartNumberingAfterBreak="0">
    <w:nsid w:val="6C944713"/>
    <w:multiLevelType w:val="hybridMultilevel"/>
    <w:tmpl w:val="DC8C98AE"/>
    <w:numStyleLink w:val="Zaimportowanystyl5"/>
  </w:abstractNum>
  <w:abstractNum w:abstractNumId="22" w15:restartNumberingAfterBreak="0">
    <w:nsid w:val="6CED21B4"/>
    <w:multiLevelType w:val="hybridMultilevel"/>
    <w:tmpl w:val="5CD6093C"/>
    <w:numStyleLink w:val="Zaimportowanystyl7"/>
  </w:abstractNum>
  <w:abstractNum w:abstractNumId="23" w15:restartNumberingAfterBreak="0">
    <w:nsid w:val="740E0F4D"/>
    <w:multiLevelType w:val="hybridMultilevel"/>
    <w:tmpl w:val="6DBE88EC"/>
    <w:styleLink w:val="Zaimportowanystyl3"/>
    <w:lvl w:ilvl="0" w:tplc="4642E0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D5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C1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679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C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68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3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96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F519AD"/>
    <w:multiLevelType w:val="hybridMultilevel"/>
    <w:tmpl w:val="666E0CCA"/>
    <w:styleLink w:val="Zaimportowanystyl10"/>
    <w:lvl w:ilvl="0" w:tplc="12FCA24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E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4DA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E4B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F41C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AF9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4389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23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78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2730FC"/>
    <w:multiLevelType w:val="hybridMultilevel"/>
    <w:tmpl w:val="ECC498EC"/>
    <w:numStyleLink w:val="Zaimportowanystyl13"/>
  </w:abstractNum>
  <w:abstractNum w:abstractNumId="26" w15:restartNumberingAfterBreak="0">
    <w:nsid w:val="7C4D64C4"/>
    <w:multiLevelType w:val="hybridMultilevel"/>
    <w:tmpl w:val="666E0CCA"/>
    <w:numStyleLink w:val="Zaimportowanystyl10"/>
  </w:abstractNum>
  <w:abstractNum w:abstractNumId="27" w15:restartNumberingAfterBreak="0">
    <w:nsid w:val="7CF522B4"/>
    <w:multiLevelType w:val="hybridMultilevel"/>
    <w:tmpl w:val="6480F504"/>
    <w:numStyleLink w:val="Zaimportowanystyl1"/>
  </w:abstractNum>
  <w:abstractNum w:abstractNumId="28" w15:restartNumberingAfterBreak="0">
    <w:nsid w:val="7F407C85"/>
    <w:multiLevelType w:val="hybridMultilevel"/>
    <w:tmpl w:val="6DBE88EC"/>
    <w:numStyleLink w:val="Zaimportowanystyl3"/>
  </w:abstractNum>
  <w:num w:numId="1">
    <w:abstractNumId w:val="15"/>
  </w:num>
  <w:num w:numId="2">
    <w:abstractNumId w:val="27"/>
    <w:lvlOverride w:ilvl="0">
      <w:lvl w:ilvl="0" w:tplc="54DA83D8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2"/>
  </w:num>
  <w:num w:numId="5">
    <w:abstractNumId w:val="23"/>
  </w:num>
  <w:num w:numId="6">
    <w:abstractNumId w:val="28"/>
  </w:num>
  <w:num w:numId="7">
    <w:abstractNumId w:val="3"/>
  </w:num>
  <w:num w:numId="8">
    <w:abstractNumId w:val="14"/>
  </w:num>
  <w:num w:numId="9">
    <w:abstractNumId w:val="14"/>
    <w:lvlOverride w:ilvl="0">
      <w:lvl w:ilvl="0" w:tplc="B3B6D5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74DDD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AC4E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CAC16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F271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83FD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44E0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B6E1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9870E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22"/>
    <w:lvlOverride w:ilvl="3">
      <w:lvl w:ilvl="3" w:tplc="F4423570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784A40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46F4A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6CCD0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23570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394DA66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1AD6F1B4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E6A60BC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94BC882E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482DA4E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4"/>
    <w:lvlOverride w:ilvl="0">
      <w:lvl w:ilvl="0" w:tplc="5CE4F19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8CDA6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3AFD12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264FB6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9D227A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CEC4FDE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5F69418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F206418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C88D304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4"/>
    <w:lvlOverride w:ilvl="0">
      <w:lvl w:ilvl="0" w:tplc="5CE4F19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8CDA6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3AFD12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264FB6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9D227A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CEC4FDE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5F69418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F206418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C88D304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4"/>
  </w:num>
  <w:num w:numId="24">
    <w:abstractNumId w:val="26"/>
  </w:num>
  <w:num w:numId="25">
    <w:abstractNumId w:val="19"/>
  </w:num>
  <w:num w:numId="26">
    <w:abstractNumId w:val="12"/>
  </w:num>
  <w:num w:numId="27">
    <w:abstractNumId w:val="5"/>
  </w:num>
  <w:num w:numId="28">
    <w:abstractNumId w:val="20"/>
  </w:num>
  <w:num w:numId="29">
    <w:abstractNumId w:val="12"/>
    <w:lvlOverride w:ilvl="0">
      <w:startOverride w:val="4"/>
    </w:lvlOverride>
  </w:num>
  <w:num w:numId="30">
    <w:abstractNumId w:val="12"/>
    <w:lvlOverride w:ilvl="0">
      <w:lvl w:ilvl="0" w:tplc="ECC83E08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309C6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061654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562670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A2F2E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A8F038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2E0A2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A42066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263DC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startOverride w:val="3"/>
      <w:lvl w:ilvl="0" w:tplc="C1C0689E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00D2C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EA42D4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921EEA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F216E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44895C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6CFFB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7AC86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EEC708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</w:num>
  <w:num w:numId="33">
    <w:abstractNumId w:val="25"/>
  </w:num>
  <w:num w:numId="34">
    <w:abstractNumId w:val="6"/>
  </w:num>
  <w:num w:numId="35">
    <w:abstractNumId w:val="7"/>
  </w:num>
  <w:num w:numId="36">
    <w:abstractNumId w:val="7"/>
    <w:lvlOverride w:ilvl="0">
      <w:lvl w:ilvl="0" w:tplc="13947600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C58AF42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C1C7836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42A180E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418FB18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7DCD716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2282218C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DEA995A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8D903CDE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25"/>
    <w:lvlOverride w:ilvl="0">
      <w:startOverride w:val="2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3"/>
    <w:rsid w:val="000A2532"/>
    <w:rsid w:val="001705E3"/>
    <w:rsid w:val="001C741B"/>
    <w:rsid w:val="001F4A0D"/>
    <w:rsid w:val="00355A89"/>
    <w:rsid w:val="00474257"/>
    <w:rsid w:val="004C620F"/>
    <w:rsid w:val="00591700"/>
    <w:rsid w:val="005B1D57"/>
    <w:rsid w:val="005B53BB"/>
    <w:rsid w:val="006D4608"/>
    <w:rsid w:val="007D04ED"/>
    <w:rsid w:val="00913D54"/>
    <w:rsid w:val="00B20F83"/>
    <w:rsid w:val="00B60625"/>
    <w:rsid w:val="00B90126"/>
    <w:rsid w:val="00D877A5"/>
    <w:rsid w:val="00E163CF"/>
    <w:rsid w:val="00E31D86"/>
    <w:rsid w:val="00F108FF"/>
    <w:rsid w:val="00F6109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9CD-D36E-47B3-98EC-EC42BC2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26"/>
    <w:rPr>
      <w:rFonts w:ascii="Segoe UI" w:hAnsi="Segoe UI" w:cs="Segoe UI"/>
      <w:color w:val="000000"/>
      <w:sz w:val="18"/>
      <w:szCs w:val="18"/>
      <w:u w:color="000000"/>
    </w:rPr>
  </w:style>
  <w:style w:type="paragraph" w:styleId="Zwykytekst">
    <w:name w:val="Plain Text"/>
    <w:basedOn w:val="Normalny"/>
    <w:link w:val="ZwykytekstZnak"/>
    <w:unhideWhenUsed/>
    <w:rsid w:val="00355A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55A89"/>
    <w:rPr>
      <w:rFonts w:ascii="Courier New" w:eastAsia="Times New Roman" w:hAnsi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4353</Words>
  <Characters>26119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Graczyk</dc:creator>
  <cp:lastModifiedBy>Dorota Graczyk</cp:lastModifiedBy>
  <cp:revision>4</cp:revision>
  <cp:lastPrinted>2018-10-11T12:35:00Z</cp:lastPrinted>
  <dcterms:created xsi:type="dcterms:W3CDTF">2018-08-21T06:00:00Z</dcterms:created>
  <dcterms:modified xsi:type="dcterms:W3CDTF">2018-10-11T12:35:00Z</dcterms:modified>
</cp:coreProperties>
</file>