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65" w:rsidRDefault="003F7F65" w:rsidP="006A64C9">
      <w:pPr>
        <w:spacing w:after="0"/>
        <w:jc w:val="both"/>
      </w:pPr>
    </w:p>
    <w:p w:rsidR="00061C6B" w:rsidRDefault="00061C6B" w:rsidP="006A64C9">
      <w:pPr>
        <w:spacing w:after="0"/>
        <w:jc w:val="both"/>
      </w:pPr>
    </w:p>
    <w:p w:rsidR="006A64C9" w:rsidRDefault="006A64C9" w:rsidP="006A64C9">
      <w:pPr>
        <w:spacing w:after="0" w:line="240" w:lineRule="auto"/>
        <w:jc w:val="both"/>
        <w:rPr>
          <w:rFonts w:ascii="Tahoma" w:hAnsi="Tahoma" w:cs="Tahoma"/>
          <w:b/>
          <w:color w:val="365F91" w:themeColor="accent1" w:themeShade="BF"/>
          <w:sz w:val="24"/>
        </w:rPr>
      </w:pPr>
    </w:p>
    <w:p w:rsidR="0011566A" w:rsidRDefault="0011566A" w:rsidP="006A64C9">
      <w:pPr>
        <w:spacing w:after="0" w:line="240" w:lineRule="auto"/>
        <w:jc w:val="both"/>
        <w:rPr>
          <w:rFonts w:ascii="Tahoma" w:hAnsi="Tahoma" w:cs="Tahoma"/>
          <w:b/>
          <w:color w:val="365F91" w:themeColor="accent1" w:themeShade="BF"/>
          <w:sz w:val="24"/>
        </w:rPr>
      </w:pPr>
    </w:p>
    <w:p w:rsidR="005D7003" w:rsidRDefault="003F7F65" w:rsidP="005D7003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  <w:sz w:val="24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>Projekt:</w:t>
      </w:r>
      <w:r w:rsidRPr="003F7F65">
        <w:rPr>
          <w:rFonts w:ascii="Tahoma" w:hAnsi="Tahoma" w:cs="Tahoma"/>
          <w:sz w:val="20"/>
        </w:rPr>
        <w:t xml:space="preserve"> </w:t>
      </w:r>
      <w:r w:rsidRPr="003F7F65">
        <w:rPr>
          <w:rFonts w:ascii="Tahoma" w:hAnsi="Tahoma" w:cs="Tahoma"/>
          <w:color w:val="E36C0A" w:themeColor="accent6" w:themeShade="BF"/>
          <w:sz w:val="24"/>
        </w:rPr>
        <w:t>Aktywizacja osób młodych pozos</w:t>
      </w:r>
      <w:r w:rsidR="0011566A">
        <w:rPr>
          <w:rFonts w:ascii="Tahoma" w:hAnsi="Tahoma" w:cs="Tahoma"/>
          <w:color w:val="E36C0A" w:themeColor="accent6" w:themeShade="BF"/>
          <w:sz w:val="24"/>
        </w:rPr>
        <w:t>tających bez pracy w Toruniu (IV</w:t>
      </w:r>
      <w:r w:rsidRPr="003F7F65">
        <w:rPr>
          <w:rFonts w:ascii="Tahoma" w:hAnsi="Tahoma" w:cs="Tahoma"/>
          <w:color w:val="E36C0A" w:themeColor="accent6" w:themeShade="BF"/>
          <w:sz w:val="24"/>
        </w:rPr>
        <w:t>)</w:t>
      </w:r>
    </w:p>
    <w:p w:rsidR="003F7F65" w:rsidRPr="005D7003" w:rsidRDefault="003F7F65" w:rsidP="005D7003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  <w:sz w:val="24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>Program Operacyjny:</w:t>
      </w:r>
      <w:r>
        <w:rPr>
          <w:rFonts w:ascii="Tahoma" w:hAnsi="Tahoma" w:cs="Tahoma"/>
          <w:color w:val="E36C0A" w:themeColor="accent6" w:themeShade="BF"/>
          <w:sz w:val="24"/>
        </w:rPr>
        <w:t xml:space="preserve"> Wiedza Edukacja Rozwój</w:t>
      </w:r>
      <w:r w:rsidRPr="003F7F65">
        <w:rPr>
          <w:rFonts w:ascii="Tahoma" w:hAnsi="Tahoma" w:cs="Tahoma"/>
          <w:sz w:val="20"/>
        </w:rPr>
        <w:t xml:space="preserve"> </w:t>
      </w:r>
    </w:p>
    <w:p w:rsidR="003F7F65" w:rsidRDefault="003F7F65" w:rsidP="005D7003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  <w:sz w:val="24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>Realizator:</w:t>
      </w:r>
      <w:r>
        <w:rPr>
          <w:rFonts w:ascii="Tahoma" w:hAnsi="Tahoma" w:cs="Tahoma"/>
          <w:b/>
          <w:color w:val="365F91" w:themeColor="accent1" w:themeShade="BF"/>
          <w:sz w:val="24"/>
        </w:rPr>
        <w:t xml:space="preserve"> </w:t>
      </w:r>
      <w:r w:rsidRPr="003F7F65">
        <w:rPr>
          <w:sz w:val="20"/>
        </w:rPr>
        <w:t xml:space="preserve"> </w:t>
      </w:r>
      <w:r w:rsidRPr="003F7F65">
        <w:rPr>
          <w:rFonts w:ascii="Tahoma" w:hAnsi="Tahoma" w:cs="Tahoma"/>
          <w:color w:val="E36C0A" w:themeColor="accent6" w:themeShade="BF"/>
          <w:sz w:val="24"/>
        </w:rPr>
        <w:t xml:space="preserve">Powiatowy Urząd Pracy dla Miasta Torunia </w:t>
      </w:r>
    </w:p>
    <w:p w:rsidR="003F7F65" w:rsidRPr="005D7003" w:rsidRDefault="003F7F65" w:rsidP="005D7003">
      <w:pPr>
        <w:spacing w:after="0" w:line="360" w:lineRule="auto"/>
        <w:jc w:val="both"/>
        <w:rPr>
          <w:rFonts w:ascii="Tahoma" w:hAnsi="Tahoma" w:cs="Tahoma"/>
          <w:b/>
          <w:color w:val="E36C0A" w:themeColor="accent6" w:themeShade="BF"/>
          <w:sz w:val="24"/>
          <w:u w:val="single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 xml:space="preserve">Forma: </w:t>
      </w:r>
      <w:r w:rsidR="00635DBB">
        <w:rPr>
          <w:rFonts w:ascii="Tahoma" w:hAnsi="Tahoma" w:cs="Tahoma"/>
          <w:b/>
          <w:color w:val="E36C0A" w:themeColor="accent6" w:themeShade="BF"/>
          <w:sz w:val="24"/>
          <w:u w:val="single"/>
        </w:rPr>
        <w:t>jednorazowe środki na podjęcie działalności gospodarczej</w:t>
      </w:r>
    </w:p>
    <w:p w:rsidR="00B2774D" w:rsidRDefault="00B2774D" w:rsidP="005D7003">
      <w:pPr>
        <w:spacing w:after="0" w:line="360" w:lineRule="auto"/>
        <w:jc w:val="both"/>
        <w:rPr>
          <w:rFonts w:ascii="Tahoma" w:hAnsi="Tahoma" w:cs="Tahoma"/>
          <w:b/>
          <w:color w:val="365F91" w:themeColor="accent1" w:themeShade="BF"/>
          <w:sz w:val="24"/>
        </w:rPr>
      </w:pPr>
      <w:r>
        <w:rPr>
          <w:rFonts w:ascii="Tahoma" w:hAnsi="Tahoma" w:cs="Tahoma"/>
          <w:b/>
          <w:color w:val="365F91" w:themeColor="accent1" w:themeShade="BF"/>
          <w:sz w:val="24"/>
        </w:rPr>
        <w:t>Termin naboru wniosków</w:t>
      </w:r>
      <w:r w:rsidRPr="00B2774D">
        <w:rPr>
          <w:rFonts w:ascii="Tahoma" w:hAnsi="Tahoma" w:cs="Tahoma"/>
          <w:b/>
          <w:color w:val="365F91" w:themeColor="accent1" w:themeShade="BF"/>
          <w:sz w:val="24"/>
        </w:rPr>
        <w:t>:</w:t>
      </w:r>
      <w:r w:rsidRPr="00B2774D">
        <w:rPr>
          <w:rFonts w:ascii="Tahoma" w:hAnsi="Tahoma" w:cs="Tahoma"/>
          <w:color w:val="E36C0A" w:themeColor="accent6" w:themeShade="BF"/>
          <w:sz w:val="24"/>
        </w:rPr>
        <w:t xml:space="preserve"> 2-15 kwietnia 2019 r. </w:t>
      </w:r>
    </w:p>
    <w:p w:rsidR="00E82003" w:rsidRDefault="00E82003" w:rsidP="005D7003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  <w:sz w:val="24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>Termin</w:t>
      </w:r>
      <w:r>
        <w:rPr>
          <w:rFonts w:ascii="Tahoma" w:hAnsi="Tahoma" w:cs="Tahoma"/>
          <w:b/>
          <w:color w:val="365F91" w:themeColor="accent1" w:themeShade="BF"/>
          <w:sz w:val="24"/>
        </w:rPr>
        <w:t xml:space="preserve"> przyjmowania wniosków</w:t>
      </w:r>
      <w:r w:rsidRPr="003F7F65">
        <w:rPr>
          <w:rFonts w:ascii="Tahoma" w:hAnsi="Tahoma" w:cs="Tahoma"/>
          <w:b/>
          <w:color w:val="365F91" w:themeColor="accent1" w:themeShade="BF"/>
          <w:sz w:val="24"/>
        </w:rPr>
        <w:t>:</w:t>
      </w:r>
      <w:r w:rsidRPr="003F7F65">
        <w:rPr>
          <w:rFonts w:ascii="Tahoma" w:hAnsi="Tahoma" w:cs="Tahoma"/>
          <w:b/>
          <w:color w:val="E36C0A" w:themeColor="accent6" w:themeShade="BF"/>
          <w:sz w:val="24"/>
        </w:rPr>
        <w:t xml:space="preserve"> </w:t>
      </w:r>
      <w:r w:rsidR="00B2774D" w:rsidRPr="00B2774D">
        <w:rPr>
          <w:rFonts w:ascii="Tahoma" w:hAnsi="Tahoma" w:cs="Tahoma"/>
          <w:color w:val="E36C0A" w:themeColor="accent6" w:themeShade="BF"/>
          <w:sz w:val="24"/>
        </w:rPr>
        <w:t>9-15</w:t>
      </w:r>
      <w:r w:rsidR="00332629" w:rsidRPr="00B2774D">
        <w:rPr>
          <w:rFonts w:ascii="Tahoma" w:hAnsi="Tahoma" w:cs="Tahoma"/>
          <w:color w:val="E36C0A" w:themeColor="accent6" w:themeShade="BF"/>
          <w:sz w:val="24"/>
        </w:rPr>
        <w:t xml:space="preserve"> kwietnia 2019 r.</w:t>
      </w:r>
      <w:r w:rsidR="004D1880" w:rsidRPr="00B2774D">
        <w:rPr>
          <w:rFonts w:ascii="Tahoma" w:hAnsi="Tahoma" w:cs="Tahoma"/>
          <w:color w:val="E36C0A" w:themeColor="accent6" w:themeShade="BF"/>
          <w:sz w:val="24"/>
        </w:rPr>
        <w:t xml:space="preserve"> w godz.:7:30-15:00</w:t>
      </w:r>
    </w:p>
    <w:p w:rsidR="006A64C9" w:rsidRPr="006A64C9" w:rsidRDefault="006A64C9" w:rsidP="005D700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64C9">
        <w:rPr>
          <w:rFonts w:ascii="Tahoma" w:hAnsi="Tahoma" w:cs="Tahoma"/>
          <w:b/>
          <w:color w:val="365F91" w:themeColor="accent1" w:themeShade="BF"/>
          <w:sz w:val="24"/>
          <w:szCs w:val="24"/>
        </w:rPr>
        <w:t>Przewidywana liczba uczestników:</w:t>
      </w:r>
      <w:r w:rsidRPr="006A64C9">
        <w:rPr>
          <w:rFonts w:ascii="Times New Roman" w:hAnsi="Times New Roman"/>
          <w:b/>
          <w:sz w:val="24"/>
          <w:szCs w:val="24"/>
        </w:rPr>
        <w:t xml:space="preserve">  </w:t>
      </w:r>
      <w:r w:rsidR="0011566A" w:rsidRPr="00332629">
        <w:rPr>
          <w:rFonts w:ascii="Tahoma" w:hAnsi="Tahoma" w:cs="Tahoma"/>
          <w:color w:val="E36C0A" w:themeColor="accent6" w:themeShade="BF"/>
          <w:sz w:val="24"/>
          <w:szCs w:val="24"/>
        </w:rPr>
        <w:t>20 osób</w:t>
      </w:r>
    </w:p>
    <w:p w:rsidR="006A64C9" w:rsidRPr="00061C6B" w:rsidRDefault="006A64C9" w:rsidP="005D7003">
      <w:pPr>
        <w:spacing w:after="0" w:line="360" w:lineRule="auto"/>
        <w:jc w:val="both"/>
        <w:rPr>
          <w:rStyle w:val="Hipercze"/>
          <w:color w:val="0000BF" w:themeColor="hyperlink" w:themeShade="BF"/>
        </w:rPr>
      </w:pPr>
      <w:r w:rsidRPr="006A64C9">
        <w:rPr>
          <w:rFonts w:ascii="Tahoma" w:hAnsi="Tahoma" w:cs="Tahoma"/>
          <w:b/>
          <w:color w:val="365F91" w:themeColor="accent1" w:themeShade="BF"/>
          <w:sz w:val="24"/>
          <w:szCs w:val="24"/>
        </w:rPr>
        <w:t xml:space="preserve">Formularze: </w:t>
      </w:r>
      <w:r w:rsidR="00D35820">
        <w:rPr>
          <w:rFonts w:ascii="Tahoma" w:hAnsi="Tahoma" w:cs="Tahoma"/>
          <w:color w:val="E36C0A" w:themeColor="accent6" w:themeShade="BF"/>
          <w:sz w:val="24"/>
          <w:szCs w:val="24"/>
        </w:rPr>
        <w:t>pokój nr 39</w:t>
      </w:r>
      <w:r>
        <w:rPr>
          <w:rFonts w:ascii="Tahoma" w:hAnsi="Tahoma" w:cs="Tahoma"/>
          <w:color w:val="E36C0A" w:themeColor="accent6" w:themeShade="BF"/>
          <w:sz w:val="24"/>
          <w:szCs w:val="24"/>
        </w:rPr>
        <w:t xml:space="preserve"> (II piętro) w siedzibie Urzędu/</w:t>
      </w:r>
      <w:r w:rsidR="00061C6B" w:rsidRPr="00061C6B">
        <w:rPr>
          <w:rStyle w:val="Hipercze"/>
          <w:rFonts w:ascii="Tahoma" w:hAnsi="Tahoma" w:cs="Tahoma"/>
          <w:color w:val="0000BF" w:themeColor="hyperlink" w:themeShade="BF"/>
          <w:sz w:val="24"/>
          <w:szCs w:val="24"/>
        </w:rPr>
        <w:t>www.</w:t>
      </w:r>
      <w:hyperlink r:id="rId9" w:history="1">
        <w:r w:rsidRPr="009F5EE7">
          <w:rPr>
            <w:rStyle w:val="Hipercze"/>
            <w:rFonts w:ascii="Tahoma" w:hAnsi="Tahoma" w:cs="Tahoma"/>
            <w:color w:val="0000BF" w:themeColor="hyperlink" w:themeShade="BF"/>
            <w:sz w:val="24"/>
            <w:szCs w:val="24"/>
          </w:rPr>
          <w:t>muptorun.praca.gov.pl</w:t>
        </w:r>
      </w:hyperlink>
    </w:p>
    <w:p w:rsidR="006A64C9" w:rsidRPr="003F7F65" w:rsidRDefault="003F7F65" w:rsidP="005D7003">
      <w:pPr>
        <w:spacing w:after="0" w:line="360" w:lineRule="auto"/>
        <w:jc w:val="both"/>
        <w:rPr>
          <w:rFonts w:ascii="Tahoma" w:hAnsi="Tahoma" w:cs="Tahoma"/>
          <w:b/>
          <w:color w:val="365F91" w:themeColor="accent1" w:themeShade="BF"/>
          <w:sz w:val="24"/>
        </w:rPr>
      </w:pPr>
      <w:r w:rsidRPr="003F7F65">
        <w:rPr>
          <w:rFonts w:ascii="Tahoma" w:hAnsi="Tahoma" w:cs="Tahoma"/>
          <w:b/>
          <w:color w:val="365F91" w:themeColor="accent1" w:themeShade="BF"/>
          <w:sz w:val="24"/>
        </w:rPr>
        <w:t>Kryterium doboru</w:t>
      </w:r>
      <w:r>
        <w:rPr>
          <w:rFonts w:ascii="Tahoma" w:hAnsi="Tahoma" w:cs="Tahoma"/>
          <w:b/>
          <w:color w:val="365F91" w:themeColor="accent1" w:themeShade="BF"/>
          <w:sz w:val="24"/>
        </w:rPr>
        <w:t xml:space="preserve"> uczestników</w:t>
      </w:r>
      <w:r w:rsidRPr="003F7F65">
        <w:rPr>
          <w:rFonts w:ascii="Tahoma" w:hAnsi="Tahoma" w:cs="Tahoma"/>
          <w:b/>
          <w:color w:val="365F91" w:themeColor="accent1" w:themeShade="BF"/>
          <w:sz w:val="24"/>
        </w:rPr>
        <w:t>:</w:t>
      </w:r>
    </w:p>
    <w:p w:rsidR="00A85287" w:rsidRPr="003F7F65" w:rsidRDefault="00A85287" w:rsidP="005D7003">
      <w:pPr>
        <w:spacing w:after="0" w:line="360" w:lineRule="auto"/>
        <w:jc w:val="both"/>
        <w:outlineLvl w:val="4"/>
        <w:rPr>
          <w:rFonts w:ascii="Tahoma" w:hAnsi="Tahoma" w:cs="Tahoma"/>
          <w:color w:val="365F91" w:themeColor="accent1" w:themeShade="BF"/>
        </w:rPr>
      </w:pPr>
      <w:r w:rsidRPr="003F7F65">
        <w:rPr>
          <w:rFonts w:ascii="Tahoma" w:hAnsi="Tahoma" w:cs="Tahoma"/>
          <w:color w:val="365F91" w:themeColor="accent1" w:themeShade="BF"/>
        </w:rPr>
        <w:t xml:space="preserve">Osoby w wieku </w:t>
      </w:r>
      <w:r w:rsidRPr="003F7F65">
        <w:rPr>
          <w:rFonts w:ascii="Tahoma" w:hAnsi="Tahoma" w:cs="Tahoma"/>
          <w:color w:val="E36C0A" w:themeColor="accent6" w:themeShade="BF"/>
        </w:rPr>
        <w:t xml:space="preserve">18-29 lat </w:t>
      </w:r>
      <w:r w:rsidRPr="003F7F65">
        <w:rPr>
          <w:rFonts w:ascii="Tahoma" w:hAnsi="Tahoma" w:cs="Tahoma"/>
          <w:color w:val="365F91" w:themeColor="accent1" w:themeShade="BF"/>
        </w:rPr>
        <w:t xml:space="preserve">(nieukończone 30 lat) zarejestrowane w Powiatowym Urzędzie Pracy dla Miasta Torunia jako osoby bezrobotne – zakwalifikowane do II </w:t>
      </w:r>
      <w:r w:rsidR="009005C9">
        <w:rPr>
          <w:rFonts w:ascii="Tahoma" w:hAnsi="Tahoma" w:cs="Tahoma"/>
          <w:color w:val="365F91" w:themeColor="accent1" w:themeShade="BF"/>
        </w:rPr>
        <w:t xml:space="preserve">lub </w:t>
      </w:r>
      <w:r w:rsidR="009005C9">
        <w:rPr>
          <w:rFonts w:ascii="Tahoma" w:hAnsi="Tahoma" w:cs="Tahoma"/>
          <w:color w:val="365F91" w:themeColor="accent1" w:themeShade="BF"/>
        </w:rPr>
        <w:br/>
        <w:t xml:space="preserve">w uzasadnionych przypadkach I </w:t>
      </w:r>
      <w:r w:rsidRPr="003F7F65">
        <w:rPr>
          <w:rFonts w:ascii="Tahoma" w:hAnsi="Tahoma" w:cs="Tahoma"/>
          <w:color w:val="365F91" w:themeColor="accent1" w:themeShade="BF"/>
        </w:rPr>
        <w:t>profilu pomocy</w:t>
      </w:r>
      <w:r w:rsidR="0080100D">
        <w:rPr>
          <w:rFonts w:ascii="Tahoma" w:hAnsi="Tahoma" w:cs="Tahoma"/>
          <w:color w:val="365F91" w:themeColor="accent1" w:themeShade="BF"/>
        </w:rPr>
        <w:t xml:space="preserve">, </w:t>
      </w:r>
      <w:r>
        <w:rPr>
          <w:rFonts w:ascii="Tahoma" w:hAnsi="Tahoma" w:cs="Tahoma"/>
          <w:color w:val="365F91" w:themeColor="accent1" w:themeShade="BF"/>
        </w:rPr>
        <w:t>(o którym mowa w</w:t>
      </w:r>
      <w:r w:rsidRPr="003F7F65">
        <w:rPr>
          <w:rFonts w:ascii="Tahoma" w:hAnsi="Tahoma" w:cs="Tahoma"/>
          <w:color w:val="365F91" w:themeColor="accent1" w:themeShade="BF"/>
        </w:rPr>
        <w:t xml:space="preserve"> </w:t>
      </w:r>
      <w:r w:rsidR="0080100D">
        <w:rPr>
          <w:rFonts w:ascii="Tahoma" w:hAnsi="Tahoma" w:cs="Tahoma"/>
          <w:color w:val="365F91" w:themeColor="accent1" w:themeShade="BF"/>
        </w:rPr>
        <w:t xml:space="preserve">ustawie o promocji zatrudnienia </w:t>
      </w:r>
      <w:r w:rsidRPr="003F7F65">
        <w:rPr>
          <w:rFonts w:ascii="Tahoma" w:hAnsi="Tahoma" w:cs="Tahoma"/>
          <w:color w:val="365F91" w:themeColor="accent1" w:themeShade="BF"/>
        </w:rPr>
        <w:t>i</w:t>
      </w:r>
      <w:r w:rsidR="003D0ADF">
        <w:rPr>
          <w:rFonts w:ascii="Tahoma" w:hAnsi="Tahoma" w:cs="Tahoma"/>
          <w:color w:val="365F91" w:themeColor="accent1" w:themeShade="BF"/>
        </w:rPr>
        <w:t> instytucjach rynku pracy)</w:t>
      </w:r>
      <w:r w:rsidRPr="003F7F65">
        <w:rPr>
          <w:rFonts w:ascii="Tahoma" w:hAnsi="Tahoma" w:cs="Tahoma"/>
          <w:color w:val="365F91" w:themeColor="accent1" w:themeShade="BF"/>
        </w:rPr>
        <w:t xml:space="preserve"> które nie uczestniczą w kształceniu i szkoleniu się </w:t>
      </w:r>
      <w:r w:rsidRPr="003F7F65">
        <w:rPr>
          <w:rFonts w:ascii="Tahoma" w:hAnsi="Tahoma" w:cs="Tahoma"/>
          <w:color w:val="E36C0A" w:themeColor="accent6" w:themeShade="BF"/>
        </w:rPr>
        <w:t>(tzw. młodzież NEET)</w:t>
      </w:r>
      <w:r w:rsidR="00061C6B">
        <w:rPr>
          <w:rFonts w:ascii="Tahoma" w:hAnsi="Tahoma" w:cs="Tahoma"/>
          <w:color w:val="365F91" w:themeColor="accent1" w:themeShade="BF"/>
        </w:rPr>
        <w:t>.</w:t>
      </w:r>
    </w:p>
    <w:p w:rsidR="00A85287" w:rsidRDefault="00A85287" w:rsidP="006A64C9">
      <w:pPr>
        <w:spacing w:after="0"/>
        <w:jc w:val="both"/>
        <w:rPr>
          <w:rFonts w:ascii="Tahoma" w:hAnsi="Tahoma" w:cs="Tahoma"/>
          <w:b/>
          <w:color w:val="365F91" w:themeColor="accent1" w:themeShade="BF"/>
          <w:sz w:val="24"/>
        </w:rPr>
      </w:pPr>
    </w:p>
    <w:p w:rsidR="003F7F65" w:rsidRPr="005D7003" w:rsidRDefault="003F7F65" w:rsidP="005D7003">
      <w:pPr>
        <w:spacing w:after="0" w:line="360" w:lineRule="auto"/>
        <w:jc w:val="both"/>
        <w:rPr>
          <w:rFonts w:ascii="Tahoma" w:hAnsi="Tahoma" w:cs="Tahoma"/>
          <w:b/>
          <w:color w:val="365F91" w:themeColor="accent1" w:themeShade="BF"/>
          <w:sz w:val="24"/>
        </w:rPr>
      </w:pPr>
      <w:r w:rsidRPr="00266D9D">
        <w:rPr>
          <w:rFonts w:ascii="Tahoma" w:hAnsi="Tahoma" w:cs="Tahoma"/>
          <w:b/>
          <w:color w:val="365F91" w:themeColor="accent1" w:themeShade="BF"/>
          <w:sz w:val="24"/>
        </w:rPr>
        <w:t>Opis realizowanej formy:</w:t>
      </w:r>
    </w:p>
    <w:p w:rsidR="00453BA2" w:rsidRDefault="00BF2D77" w:rsidP="005D7003">
      <w:pPr>
        <w:spacing w:after="0" w:line="360" w:lineRule="auto"/>
        <w:jc w:val="both"/>
        <w:rPr>
          <w:rFonts w:ascii="Tahoma" w:hAnsi="Tahoma" w:cs="Tahoma"/>
          <w:color w:val="365F91" w:themeColor="accent1" w:themeShade="BF"/>
        </w:rPr>
      </w:pPr>
      <w:r>
        <w:rPr>
          <w:rFonts w:ascii="Tahoma" w:hAnsi="Tahoma" w:cs="Tahoma"/>
          <w:color w:val="365F91" w:themeColor="accent1" w:themeShade="BF"/>
        </w:rPr>
        <w:t xml:space="preserve">Środki na rozpoczęcie działalności gospodarczej mogą zostać przyznane osobie bezrobotnej, spełniającej kryteria projektu, na podstawie złożonego przez nią wniosku o dofinansowanie.  </w:t>
      </w:r>
    </w:p>
    <w:p w:rsidR="00BF2D77" w:rsidRDefault="00650110" w:rsidP="005D7003">
      <w:pPr>
        <w:spacing w:after="0" w:line="360" w:lineRule="auto"/>
        <w:jc w:val="both"/>
        <w:rPr>
          <w:rFonts w:ascii="Tahoma" w:hAnsi="Tahoma" w:cs="Tahoma"/>
          <w:color w:val="365F91" w:themeColor="accent1" w:themeShade="BF"/>
        </w:rPr>
      </w:pPr>
      <w:r>
        <w:rPr>
          <w:rFonts w:ascii="Tahoma" w:hAnsi="Tahoma" w:cs="Tahoma"/>
          <w:color w:val="365F91" w:themeColor="accent1" w:themeShade="BF"/>
        </w:rPr>
        <w:t>Przewidywana kwota dotacji ok. 28 200,00 zł.</w:t>
      </w:r>
      <w:bookmarkStart w:id="0" w:name="_GoBack"/>
      <w:bookmarkEnd w:id="0"/>
    </w:p>
    <w:p w:rsidR="00BF2D77" w:rsidRDefault="00BF2D77" w:rsidP="00061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0C91" w:rsidRPr="00BF7DF0" w:rsidRDefault="006A64C9" w:rsidP="00BF7DF0">
      <w:pPr>
        <w:spacing w:after="0" w:line="240" w:lineRule="auto"/>
        <w:rPr>
          <w:rFonts w:ascii="Tahoma" w:hAnsi="Tahoma" w:cs="Tahoma"/>
          <w:color w:val="E36C0A" w:themeColor="accent6" w:themeShade="BF"/>
        </w:rPr>
      </w:pPr>
      <w:r w:rsidRPr="00BF7DF0">
        <w:rPr>
          <w:rFonts w:ascii="Tahoma" w:hAnsi="Tahoma" w:cs="Tahoma"/>
          <w:b/>
          <w:color w:val="365F91" w:themeColor="accent1" w:themeShade="BF"/>
        </w:rPr>
        <w:t xml:space="preserve">Kontakt: </w:t>
      </w:r>
      <w:r w:rsidRPr="00BF7DF0">
        <w:rPr>
          <w:rFonts w:ascii="Tahoma" w:hAnsi="Tahoma" w:cs="Tahoma"/>
          <w:color w:val="E36C0A" w:themeColor="accent6" w:themeShade="BF"/>
        </w:rPr>
        <w:t>56 65 80</w:t>
      </w:r>
      <w:r w:rsidR="002A0C91" w:rsidRPr="00BF7DF0">
        <w:rPr>
          <w:rFonts w:ascii="Tahoma" w:hAnsi="Tahoma" w:cs="Tahoma"/>
          <w:color w:val="E36C0A" w:themeColor="accent6" w:themeShade="BF"/>
        </w:rPr>
        <w:t> </w:t>
      </w:r>
      <w:r w:rsidR="00284470" w:rsidRPr="00BF7DF0">
        <w:rPr>
          <w:rFonts w:ascii="Tahoma" w:hAnsi="Tahoma" w:cs="Tahoma"/>
          <w:color w:val="E36C0A" w:themeColor="accent6" w:themeShade="BF"/>
        </w:rPr>
        <w:t>252</w:t>
      </w:r>
      <w:hyperlink r:id="rId10" w:history="1">
        <w:r w:rsidR="00E82003" w:rsidRPr="00BF7DF0">
          <w:rPr>
            <w:rStyle w:val="Hipercze"/>
            <w:rFonts w:ascii="Tahoma" w:hAnsi="Tahoma" w:cs="Tahoma"/>
          </w:rPr>
          <w:t>/d.graczyk@muptorun.praca.gov.pl</w:t>
        </w:r>
      </w:hyperlink>
    </w:p>
    <w:p w:rsidR="00BF7DF0" w:rsidRDefault="00BF7DF0" w:rsidP="00BF7DF0">
      <w:pPr>
        <w:spacing w:after="0" w:line="240" w:lineRule="auto"/>
        <w:rPr>
          <w:rFonts w:ascii="Tahoma" w:hAnsi="Tahoma" w:cs="Tahoma"/>
          <w:b/>
          <w:color w:val="365F91" w:themeColor="accent1" w:themeShade="BF"/>
        </w:rPr>
      </w:pPr>
    </w:p>
    <w:p w:rsidR="00C92BC9" w:rsidRPr="00BF7DF0" w:rsidRDefault="00C92BC9" w:rsidP="005D7003">
      <w:pPr>
        <w:spacing w:after="0" w:line="360" w:lineRule="auto"/>
        <w:rPr>
          <w:rFonts w:ascii="Tahoma" w:hAnsi="Tahoma" w:cs="Tahoma"/>
          <w:b/>
          <w:color w:val="365F91" w:themeColor="accent1" w:themeShade="BF"/>
        </w:rPr>
      </w:pPr>
      <w:r w:rsidRPr="00BF7DF0">
        <w:rPr>
          <w:rFonts w:ascii="Tahoma" w:hAnsi="Tahoma" w:cs="Tahoma"/>
          <w:b/>
          <w:color w:val="365F91" w:themeColor="accent1" w:themeShade="BF"/>
        </w:rPr>
        <w:t>Miejsce składania wniosków:</w:t>
      </w:r>
      <w:r w:rsidRPr="00BF7DF0">
        <w:rPr>
          <w:rFonts w:ascii="Tahoma" w:hAnsi="Tahoma" w:cs="Tahoma"/>
          <w:b/>
          <w:color w:val="365F91" w:themeColor="accent1" w:themeShade="BF"/>
        </w:rPr>
        <w:tab/>
      </w:r>
    </w:p>
    <w:p w:rsidR="0011566A" w:rsidRPr="0011566A" w:rsidRDefault="0011566A" w:rsidP="0011566A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</w:rPr>
      </w:pPr>
      <w:r w:rsidRPr="0011566A">
        <w:rPr>
          <w:rFonts w:ascii="Tahoma" w:hAnsi="Tahoma" w:cs="Tahoma"/>
          <w:color w:val="E36C0A" w:themeColor="accent6" w:themeShade="BF"/>
        </w:rPr>
        <w:t xml:space="preserve">Powiatowy Urząd Pracy dla Miasta Torunia </w:t>
      </w:r>
    </w:p>
    <w:p w:rsidR="0011566A" w:rsidRPr="0011566A" w:rsidRDefault="0011566A" w:rsidP="0011566A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</w:rPr>
      </w:pPr>
      <w:r w:rsidRPr="0011566A">
        <w:rPr>
          <w:rFonts w:ascii="Tahoma" w:hAnsi="Tahoma" w:cs="Tahoma"/>
          <w:color w:val="E36C0A" w:themeColor="accent6" w:themeShade="BF"/>
        </w:rPr>
        <w:t xml:space="preserve">ul. Mazowiecka 49a </w:t>
      </w:r>
    </w:p>
    <w:p w:rsidR="0011566A" w:rsidRPr="0011566A" w:rsidRDefault="0011566A" w:rsidP="0011566A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</w:rPr>
      </w:pPr>
      <w:r w:rsidRPr="0011566A">
        <w:rPr>
          <w:rFonts w:ascii="Tahoma" w:hAnsi="Tahoma" w:cs="Tahoma"/>
          <w:color w:val="E36C0A" w:themeColor="accent6" w:themeShade="BF"/>
        </w:rPr>
        <w:t xml:space="preserve">87-100 Toruń </w:t>
      </w:r>
    </w:p>
    <w:p w:rsidR="0011566A" w:rsidRPr="0011566A" w:rsidRDefault="0011566A" w:rsidP="0011566A">
      <w:pPr>
        <w:spacing w:after="0" w:line="360" w:lineRule="auto"/>
        <w:jc w:val="both"/>
        <w:rPr>
          <w:rFonts w:ascii="Tahoma" w:hAnsi="Tahoma" w:cs="Tahoma"/>
          <w:color w:val="E36C0A" w:themeColor="accent6" w:themeShade="BF"/>
        </w:rPr>
      </w:pPr>
      <w:r w:rsidRPr="0011566A">
        <w:rPr>
          <w:rFonts w:ascii="Tahoma" w:hAnsi="Tahoma" w:cs="Tahoma"/>
          <w:color w:val="E36C0A" w:themeColor="accent6" w:themeShade="BF"/>
        </w:rPr>
        <w:t>Kancelaria (stanowisko nr 1, parter)</w:t>
      </w:r>
    </w:p>
    <w:p w:rsidR="00DF1760" w:rsidRPr="00BF7DF0" w:rsidRDefault="00DF1760" w:rsidP="005D7003">
      <w:pPr>
        <w:spacing w:after="0" w:line="360" w:lineRule="auto"/>
        <w:jc w:val="both"/>
        <w:rPr>
          <w:rFonts w:ascii="Tahoma" w:hAnsi="Tahoma" w:cs="Tahoma"/>
          <w:b/>
          <w:color w:val="E36C0A" w:themeColor="accent6" w:themeShade="BF"/>
        </w:rPr>
      </w:pPr>
    </w:p>
    <w:p w:rsidR="006A64C9" w:rsidRPr="00BF7DF0" w:rsidRDefault="00162C9B" w:rsidP="005D7003">
      <w:pPr>
        <w:spacing w:after="0" w:line="360" w:lineRule="auto"/>
        <w:jc w:val="both"/>
        <w:rPr>
          <w:rFonts w:ascii="Tahoma" w:hAnsi="Tahoma" w:cs="Tahoma"/>
          <w:color w:val="365F91" w:themeColor="accent1" w:themeShade="BF"/>
        </w:rPr>
      </w:pPr>
      <w:r w:rsidRPr="00BF7DF0">
        <w:rPr>
          <w:rFonts w:ascii="Tahoma" w:hAnsi="Tahoma" w:cs="Tahoma"/>
          <w:color w:val="E36C0A" w:themeColor="accent6" w:themeShade="BF"/>
        </w:rPr>
        <w:t xml:space="preserve">UWAGA! </w:t>
      </w:r>
      <w:r w:rsidR="00210F19" w:rsidRPr="00BF7DF0">
        <w:rPr>
          <w:rFonts w:ascii="Tahoma" w:hAnsi="Tahoma" w:cs="Tahoma"/>
          <w:color w:val="365F91" w:themeColor="accent1" w:themeShade="BF"/>
        </w:rPr>
        <w:t>Udział osób, które nie ukończyły 25. roku życia w</w:t>
      </w:r>
      <w:r w:rsidR="004D1880">
        <w:rPr>
          <w:rFonts w:ascii="Tahoma" w:hAnsi="Tahoma" w:cs="Tahoma"/>
          <w:color w:val="365F91" w:themeColor="accent1" w:themeShade="BF"/>
        </w:rPr>
        <w:t xml:space="preserve"> formie </w:t>
      </w:r>
      <w:r w:rsidR="00210F19" w:rsidRPr="00BF7DF0">
        <w:rPr>
          <w:rFonts w:ascii="Tahoma" w:hAnsi="Tahoma" w:cs="Tahoma"/>
          <w:color w:val="365F91" w:themeColor="accent1" w:themeShade="BF"/>
        </w:rPr>
        <w:t xml:space="preserve">możliwy jest jedynie </w:t>
      </w:r>
      <w:r w:rsidR="00215F00">
        <w:rPr>
          <w:rFonts w:ascii="Tahoma" w:hAnsi="Tahoma" w:cs="Tahoma"/>
          <w:color w:val="365F91" w:themeColor="accent1" w:themeShade="BF"/>
        </w:rPr>
        <w:br/>
      </w:r>
      <w:r w:rsidR="00210F19" w:rsidRPr="00BF7DF0">
        <w:rPr>
          <w:rFonts w:ascii="Tahoma" w:hAnsi="Tahoma" w:cs="Tahoma"/>
          <w:color w:val="365F91" w:themeColor="accent1" w:themeShade="BF"/>
        </w:rPr>
        <w:t xml:space="preserve">w sytuacji, jeśli są zarejestrowane jako osoby bezrobotne przez okres nie dłuższy niż </w:t>
      </w:r>
      <w:r w:rsidR="00215F00">
        <w:rPr>
          <w:rFonts w:ascii="Tahoma" w:hAnsi="Tahoma" w:cs="Tahoma"/>
          <w:color w:val="365F91" w:themeColor="accent1" w:themeShade="BF"/>
        </w:rPr>
        <w:br/>
      </w:r>
      <w:r w:rsidR="00210F19" w:rsidRPr="00BF7DF0">
        <w:rPr>
          <w:rFonts w:ascii="Tahoma" w:hAnsi="Tahoma" w:cs="Tahoma"/>
          <w:color w:val="365F91" w:themeColor="accent1" w:themeShade="BF"/>
        </w:rPr>
        <w:t>4 miesiące.</w:t>
      </w:r>
    </w:p>
    <w:sectPr w:rsidR="006A64C9" w:rsidRPr="00BF7DF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F4" w:rsidRDefault="00576EF4" w:rsidP="00576EF4">
      <w:pPr>
        <w:spacing w:after="0" w:line="240" w:lineRule="auto"/>
      </w:pPr>
      <w:r>
        <w:separator/>
      </w:r>
    </w:p>
  </w:endnote>
  <w:endnote w:type="continuationSeparator" w:id="0">
    <w:p w:rsidR="00576EF4" w:rsidRDefault="00576EF4" w:rsidP="0057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F4" w:rsidRDefault="00576EF4" w:rsidP="00576EF4">
      <w:pPr>
        <w:spacing w:after="0" w:line="240" w:lineRule="auto"/>
      </w:pPr>
      <w:r>
        <w:separator/>
      </w:r>
    </w:p>
  </w:footnote>
  <w:footnote w:type="continuationSeparator" w:id="0">
    <w:p w:rsidR="00576EF4" w:rsidRDefault="00576EF4" w:rsidP="0057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F4" w:rsidRDefault="0011566A">
    <w:pPr>
      <w:pStyle w:val="Nagwek"/>
    </w:pPr>
    <w:r w:rsidRPr="0011566A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43A1B88" wp14:editId="343F035A">
          <wp:simplePos x="0" y="0"/>
          <wp:positionH relativeFrom="margin">
            <wp:posOffset>-318770</wp:posOffset>
          </wp:positionH>
          <wp:positionV relativeFrom="paragraph">
            <wp:posOffset>-78105</wp:posOffset>
          </wp:positionV>
          <wp:extent cx="6395085" cy="468071"/>
          <wp:effectExtent l="0" t="0" r="5715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5085" cy="468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2E1B"/>
    <w:multiLevelType w:val="hybridMultilevel"/>
    <w:tmpl w:val="279031B6"/>
    <w:lvl w:ilvl="0" w:tplc="40FA26D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65"/>
    <w:rsid w:val="00061C6B"/>
    <w:rsid w:val="0011566A"/>
    <w:rsid w:val="00162C9B"/>
    <w:rsid w:val="00185FC8"/>
    <w:rsid w:val="00210F19"/>
    <w:rsid w:val="00215F00"/>
    <w:rsid w:val="00266D9D"/>
    <w:rsid w:val="00284470"/>
    <w:rsid w:val="002A0C91"/>
    <w:rsid w:val="002F1A08"/>
    <w:rsid w:val="00332629"/>
    <w:rsid w:val="00352170"/>
    <w:rsid w:val="00364FD8"/>
    <w:rsid w:val="003D0ADF"/>
    <w:rsid w:val="003F7F65"/>
    <w:rsid w:val="00453BA2"/>
    <w:rsid w:val="00464470"/>
    <w:rsid w:val="004C7ECF"/>
    <w:rsid w:val="004D1880"/>
    <w:rsid w:val="00576EF4"/>
    <w:rsid w:val="005B0117"/>
    <w:rsid w:val="005D7003"/>
    <w:rsid w:val="005F0A91"/>
    <w:rsid w:val="00635DBB"/>
    <w:rsid w:val="00650110"/>
    <w:rsid w:val="006A64C9"/>
    <w:rsid w:val="006B46A0"/>
    <w:rsid w:val="0080100D"/>
    <w:rsid w:val="008060FE"/>
    <w:rsid w:val="00821081"/>
    <w:rsid w:val="008D13AF"/>
    <w:rsid w:val="009005C9"/>
    <w:rsid w:val="00A85287"/>
    <w:rsid w:val="00B2774D"/>
    <w:rsid w:val="00BD42C1"/>
    <w:rsid w:val="00BF2D77"/>
    <w:rsid w:val="00BF7DF0"/>
    <w:rsid w:val="00C92BC9"/>
    <w:rsid w:val="00D35820"/>
    <w:rsid w:val="00DE02A8"/>
    <w:rsid w:val="00DF1760"/>
    <w:rsid w:val="00E6381A"/>
    <w:rsid w:val="00E82003"/>
    <w:rsid w:val="00EA34E0"/>
    <w:rsid w:val="00EA52D0"/>
    <w:rsid w:val="00F23D56"/>
    <w:rsid w:val="00F27C13"/>
    <w:rsid w:val="00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F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64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4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EF4"/>
  </w:style>
  <w:style w:type="paragraph" w:styleId="Stopka">
    <w:name w:val="footer"/>
    <w:basedOn w:val="Normalny"/>
    <w:link w:val="StopkaZnak"/>
    <w:uiPriority w:val="99"/>
    <w:unhideWhenUsed/>
    <w:rsid w:val="005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F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64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4C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EF4"/>
  </w:style>
  <w:style w:type="paragraph" w:styleId="Stopka">
    <w:name w:val="footer"/>
    <w:basedOn w:val="Normalny"/>
    <w:link w:val="StopkaZnak"/>
    <w:uiPriority w:val="99"/>
    <w:unhideWhenUsed/>
    <w:rsid w:val="005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/d.graczyk@muptorun.prac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ptoru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DEE4-F4E5-4AB8-826D-B9DB743A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Thomas</dc:creator>
  <cp:lastModifiedBy>Angelika Klufczyńska</cp:lastModifiedBy>
  <cp:revision>3</cp:revision>
  <cp:lastPrinted>2018-10-15T10:12:00Z</cp:lastPrinted>
  <dcterms:created xsi:type="dcterms:W3CDTF">2019-04-02T07:53:00Z</dcterms:created>
  <dcterms:modified xsi:type="dcterms:W3CDTF">2019-04-02T07:57:00Z</dcterms:modified>
</cp:coreProperties>
</file>