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AC4" w:rsidRDefault="00764AC4">
      <w:pPr>
        <w:rPr>
          <w:rFonts w:ascii="Times New Roman" w:hAnsi="Times New Roman" w:cs="Times New Roman"/>
          <w:b/>
          <w:sz w:val="32"/>
          <w:szCs w:val="32"/>
        </w:rPr>
      </w:pPr>
      <w:r w:rsidRPr="00764AC4">
        <w:rPr>
          <w:rFonts w:ascii="Times New Roman" w:hAnsi="Times New Roman" w:cs="Times New Roman"/>
          <w:b/>
          <w:sz w:val="32"/>
          <w:szCs w:val="32"/>
        </w:rPr>
        <w:t>Warunki podejmowania działalności gospodarczej</w:t>
      </w:r>
    </w:p>
    <w:p w:rsidR="00764AC4" w:rsidRPr="00764AC4" w:rsidRDefault="00764AC4">
      <w:pPr>
        <w:rPr>
          <w:rFonts w:ascii="Times New Roman" w:hAnsi="Times New Roman" w:cs="Times New Roman"/>
          <w:b/>
          <w:sz w:val="32"/>
          <w:szCs w:val="32"/>
        </w:rPr>
      </w:pPr>
    </w:p>
    <w:p w:rsidR="00764AC4" w:rsidRPr="00764AC4" w:rsidRDefault="00764AC4">
      <w:pPr>
        <w:rPr>
          <w:rFonts w:ascii="Times New Roman" w:hAnsi="Times New Roman" w:cs="Times New Roman"/>
          <w:b/>
          <w:sz w:val="24"/>
          <w:szCs w:val="24"/>
        </w:rPr>
      </w:pPr>
      <w:r w:rsidRPr="00764AC4">
        <w:rPr>
          <w:rFonts w:ascii="Times New Roman" w:hAnsi="Times New Roman" w:cs="Times New Roman"/>
          <w:b/>
          <w:sz w:val="24"/>
          <w:szCs w:val="24"/>
        </w:rPr>
        <w:t>Centralna Ewidencja i Informacja o Działalności Gospodarczej</w:t>
      </w:r>
    </w:p>
    <w:p w:rsidR="00253F16" w:rsidRDefault="00557D9D">
      <w:hyperlink r:id="rId4" w:history="1">
        <w:r w:rsidR="00764AC4" w:rsidRPr="00764AC4">
          <w:rPr>
            <w:rStyle w:val="Hipercze"/>
            <w:rFonts w:ascii="Times New Roman" w:hAnsi="Times New Roman" w:cs="Times New Roman"/>
            <w:b/>
          </w:rPr>
          <w:t>https://prod.ceidg.gov.pl/ceidg.cms.engine/?F;1886f97b-43a9-4b16-b197-cc969b6917ba</w:t>
        </w:r>
      </w:hyperlink>
    </w:p>
    <w:p w:rsidR="00240F9A" w:rsidRPr="00764AC4" w:rsidRDefault="00557D9D">
      <w:pPr>
        <w:rPr>
          <w:rFonts w:ascii="Times New Roman" w:hAnsi="Times New Roman" w:cs="Times New Roman"/>
          <w:b/>
        </w:rPr>
      </w:pPr>
      <w:hyperlink r:id="rId5" w:history="1">
        <w:r w:rsidR="00240F9A" w:rsidRPr="00EB1664">
          <w:rPr>
            <w:rStyle w:val="Hipercze"/>
            <w:rFonts w:ascii="Times New Roman" w:hAnsi="Times New Roman" w:cs="Times New Roman"/>
            <w:b/>
          </w:rPr>
          <w:t>http://www.mg.gov.pl/Wspieranie+przedsiebiorczosci/Dzialalnosc+gospodarcza+i+e-przedsiebiorczosc/Centralna+Ewidencja+i+Informacja+o+Dzialalnosci+Gospodarczej+CEIDG</w:t>
        </w:r>
      </w:hyperlink>
      <w:r w:rsidR="00240F9A">
        <w:rPr>
          <w:rFonts w:ascii="Times New Roman" w:hAnsi="Times New Roman" w:cs="Times New Roman"/>
          <w:b/>
        </w:rPr>
        <w:t xml:space="preserve"> </w:t>
      </w:r>
    </w:p>
    <w:p w:rsidR="00764AC4" w:rsidRDefault="00764AC4">
      <w:pPr>
        <w:rPr>
          <w:rFonts w:ascii="Times New Roman" w:hAnsi="Times New Roman" w:cs="Times New Roman"/>
        </w:rPr>
      </w:pPr>
    </w:p>
    <w:p w:rsidR="00764AC4" w:rsidRPr="00764AC4" w:rsidRDefault="00764AC4" w:rsidP="00764AC4">
      <w:pPr>
        <w:pStyle w:val="Tekstpodstawowy"/>
        <w:rPr>
          <w:sz w:val="24"/>
          <w:szCs w:val="24"/>
        </w:rPr>
      </w:pPr>
      <w:r w:rsidRPr="00764AC4">
        <w:rPr>
          <w:sz w:val="24"/>
          <w:szCs w:val="24"/>
        </w:rPr>
        <w:t>Na terenie kraju istnieją insty</w:t>
      </w:r>
      <w:r>
        <w:rPr>
          <w:sz w:val="24"/>
          <w:szCs w:val="24"/>
        </w:rPr>
        <w:t xml:space="preserve">tucje, które są bardzo pomocne w </w:t>
      </w:r>
      <w:r w:rsidRPr="00764AC4">
        <w:rPr>
          <w:sz w:val="24"/>
          <w:szCs w:val="24"/>
        </w:rPr>
        <w:t xml:space="preserve">prowadzeniu działalności gospodarczej. </w:t>
      </w:r>
    </w:p>
    <w:p w:rsidR="00764AC4" w:rsidRDefault="00764AC4" w:rsidP="00764AC4">
      <w:pPr>
        <w:pStyle w:val="Nagwek1"/>
        <w:rPr>
          <w:rFonts w:cs="Times New Roman"/>
        </w:rPr>
      </w:pPr>
      <w:r>
        <w:rPr>
          <w:rFonts w:cs="Times New Roman"/>
        </w:rPr>
        <w:t>Powiatowe/Wojewódzkie Urzędy Pracy</w:t>
      </w:r>
    </w:p>
    <w:p w:rsidR="00764AC4" w:rsidRDefault="00764AC4" w:rsidP="00764AC4">
      <w:pPr>
        <w:spacing w:after="0"/>
        <w:ind w:firstLine="708"/>
        <w:jc w:val="both"/>
        <w:rPr>
          <w:rFonts w:ascii="Times New Roman" w:hAnsi="Times New Roman" w:cs="Times New Roman"/>
          <w:color w:val="222937"/>
          <w:sz w:val="24"/>
          <w:szCs w:val="24"/>
          <w:lang w:eastAsia="pl-PL"/>
        </w:rPr>
      </w:pPr>
      <w:r>
        <w:rPr>
          <w:rFonts w:ascii="Times New Roman" w:hAnsi="Times New Roman" w:cs="Times New Roman"/>
          <w:color w:val="222937"/>
          <w:sz w:val="24"/>
          <w:szCs w:val="24"/>
          <w:lang w:eastAsia="pl-PL"/>
        </w:rPr>
        <w:t xml:space="preserve">Urzędy pracy są powszechnie znanymi instytucjami, które kojarzone są przede wszystkim   z osobami poszukującymi pracy. Skojarzenie to nie jest oczywiście mylne, ale oprócz rejestrowania bezrobotnych, wojewódzkie i powiatowe urzędy pracy pomagają także osobom chcącym rozpocząć własną działalność gospodarczą. W instytucjach tych można otrzymać dokładne informacje dotyczące procedury zakładania firmy, form prawnych działalności oraz sposobów jej finansowania. Każdy urząd pracy udzieli szczegółowej informacji dotyczącej dotacji dla osób bezrobotnych zakładających własną działalność gospodarczą. </w:t>
      </w:r>
      <w:proofErr w:type="spellStart"/>
      <w:r>
        <w:rPr>
          <w:rFonts w:ascii="Times New Roman" w:hAnsi="Times New Roman" w:cs="Times New Roman"/>
          <w:color w:val="222937"/>
          <w:sz w:val="24"/>
          <w:szCs w:val="24"/>
          <w:lang w:eastAsia="pl-PL"/>
        </w:rPr>
        <w:t>PUP-y</w:t>
      </w:r>
      <w:proofErr w:type="spellEnd"/>
      <w:r>
        <w:rPr>
          <w:rFonts w:ascii="Times New Roman" w:hAnsi="Times New Roman" w:cs="Times New Roman"/>
          <w:color w:val="222937"/>
          <w:sz w:val="24"/>
          <w:szCs w:val="24"/>
          <w:lang w:eastAsia="pl-PL"/>
        </w:rPr>
        <w:t xml:space="preserve"> i </w:t>
      </w:r>
      <w:proofErr w:type="spellStart"/>
      <w:r>
        <w:rPr>
          <w:rFonts w:ascii="Times New Roman" w:hAnsi="Times New Roman" w:cs="Times New Roman"/>
          <w:color w:val="222937"/>
          <w:sz w:val="24"/>
          <w:szCs w:val="24"/>
          <w:lang w:eastAsia="pl-PL"/>
        </w:rPr>
        <w:t>WUP-y</w:t>
      </w:r>
      <w:proofErr w:type="spellEnd"/>
      <w:r>
        <w:rPr>
          <w:rFonts w:ascii="Times New Roman" w:hAnsi="Times New Roman" w:cs="Times New Roman"/>
          <w:color w:val="222937"/>
          <w:sz w:val="24"/>
          <w:szCs w:val="24"/>
          <w:lang w:eastAsia="pl-PL"/>
        </w:rPr>
        <w:t xml:space="preserve"> poinformują także o instytucjach wspierających młodych przedsiębiorców, dysponują one bowiem pełną wiedzą na temat dostępnych na terenie województwa form pomocy.</w:t>
      </w:r>
    </w:p>
    <w:p w:rsidR="00764AC4" w:rsidRDefault="00764AC4" w:rsidP="00764AC4">
      <w:pPr>
        <w:spacing w:after="0"/>
        <w:rPr>
          <w:rFonts w:ascii="Times New Roman" w:hAnsi="Times New Roman" w:cs="Times New Roman"/>
          <w:color w:val="222937"/>
          <w:sz w:val="24"/>
          <w:szCs w:val="24"/>
          <w:lang w:eastAsia="pl-PL"/>
        </w:rPr>
      </w:pPr>
    </w:p>
    <w:p w:rsidR="00764AC4" w:rsidRDefault="00764AC4" w:rsidP="00764AC4">
      <w:pPr>
        <w:spacing w:before="100" w:beforeAutospacing="1" w:after="100" w:afterAutospacing="1" w:line="360" w:lineRule="auto"/>
        <w:outlineLvl w:val="3"/>
        <w:rPr>
          <w:rFonts w:ascii="Times New Roman" w:hAnsi="Times New Roman" w:cs="Times New Roman"/>
          <w:b/>
          <w:bCs/>
          <w:sz w:val="24"/>
          <w:szCs w:val="24"/>
          <w:lang w:eastAsia="pl-PL"/>
        </w:rPr>
      </w:pPr>
      <w:r>
        <w:rPr>
          <w:rFonts w:ascii="Times New Roman" w:hAnsi="Times New Roman" w:cs="Times New Roman"/>
          <w:b/>
          <w:bCs/>
          <w:sz w:val="24"/>
          <w:szCs w:val="24"/>
          <w:lang w:eastAsia="pl-PL"/>
        </w:rPr>
        <w:t>Regionalne Instytucje Finansujące ( RIF )</w:t>
      </w:r>
    </w:p>
    <w:p w:rsidR="00764AC4" w:rsidRDefault="00764AC4" w:rsidP="00764AC4">
      <w:pPr>
        <w:pStyle w:val="Tekstpodstawowy2"/>
        <w:spacing w:line="240" w:lineRule="auto"/>
        <w:ind w:firstLine="709"/>
        <w:rPr>
          <w:color w:val="222937"/>
          <w:lang w:eastAsia="pl-PL"/>
        </w:rPr>
      </w:pPr>
      <w:r>
        <w:rPr>
          <w:color w:val="222937"/>
          <w:lang w:eastAsia="pl-PL"/>
        </w:rPr>
        <w:t>Regionalne Instytucje Finansujące (RIF) są wybranym w drodze konkursu, regionalnym partnerem Polskiej Agencji Rozwoju Przedsiębiorczości współpracującym przy wdrażaniu polityki sektorowej, adresowanej do MSP w regionie. Pełnią one jednocześnie analogiczną rolę wobec samorządowych władz regionalnych wdrażających strategie rozwoju regionu w obszarze dotyczącym MSP. Są łącznikiem, który w sposób spójny stosuje odpowiednie i skoordynowane instrumenty rozwoju przedsiębiorczości na poziomach regionalnym i krajowym. RIF w swej strukturze posiada Punkt Konsultacyjno-Doradczy jako punkt wejścia, przedsiębiorców do programów. Podstawowe funkcje RIF to udzielanie informacji o dostępnych programach dotacji i warunkach uczestnictwa oraz zarządzanie programami rozwoju małych i średnich przedsiębiorstw. Obecnie, na terenie Polski funkcjonuje 16 Regionalnych Instytucji Finansujących (po jednej w każdym województwie).</w:t>
      </w:r>
    </w:p>
    <w:p w:rsidR="00764AC4" w:rsidRDefault="00764AC4" w:rsidP="00764AC4">
      <w:pPr>
        <w:spacing w:after="0"/>
        <w:ind w:firstLine="708"/>
        <w:jc w:val="both"/>
        <w:rPr>
          <w:rFonts w:ascii="Times New Roman" w:hAnsi="Times New Roman" w:cs="Times New Roman"/>
          <w:color w:val="222937"/>
          <w:sz w:val="24"/>
          <w:szCs w:val="24"/>
          <w:lang w:eastAsia="pl-PL"/>
        </w:rPr>
      </w:pPr>
      <w:r>
        <w:rPr>
          <w:rFonts w:ascii="Times New Roman" w:hAnsi="Times New Roman" w:cs="Times New Roman"/>
          <w:color w:val="222937"/>
          <w:sz w:val="24"/>
          <w:szCs w:val="24"/>
          <w:lang w:eastAsia="pl-PL"/>
        </w:rPr>
        <w:t>Podstawowe funkcje RIF:</w:t>
      </w:r>
    </w:p>
    <w:p w:rsidR="00764AC4" w:rsidRDefault="00764AC4" w:rsidP="00764AC4">
      <w:pPr>
        <w:spacing w:after="0"/>
        <w:rPr>
          <w:rFonts w:ascii="Times New Roman" w:hAnsi="Times New Roman" w:cs="Times New Roman"/>
          <w:color w:val="222937"/>
          <w:sz w:val="24"/>
          <w:szCs w:val="24"/>
          <w:lang w:eastAsia="pl-PL"/>
        </w:rPr>
      </w:pPr>
      <w:r>
        <w:rPr>
          <w:rFonts w:ascii="Times New Roman" w:hAnsi="Times New Roman" w:cs="Times New Roman"/>
          <w:color w:val="222937"/>
          <w:sz w:val="24"/>
          <w:szCs w:val="24"/>
          <w:lang w:eastAsia="pl-PL"/>
        </w:rPr>
        <w:t>    * udzielanie informacji o dostępnych programach dotacji i warunkach uczestnictwa,</w:t>
      </w:r>
      <w:r>
        <w:rPr>
          <w:rFonts w:ascii="Times New Roman" w:hAnsi="Times New Roman" w:cs="Times New Roman"/>
          <w:color w:val="222937"/>
          <w:sz w:val="24"/>
          <w:szCs w:val="24"/>
          <w:lang w:eastAsia="pl-PL"/>
        </w:rPr>
        <w:br/>
        <w:t>    * pomoc w wyborze wykonawcy dotowanych usług doradczych,</w:t>
      </w:r>
      <w:r>
        <w:rPr>
          <w:rFonts w:ascii="Times New Roman" w:hAnsi="Times New Roman" w:cs="Times New Roman"/>
          <w:color w:val="222937"/>
          <w:sz w:val="24"/>
          <w:szCs w:val="24"/>
          <w:lang w:eastAsia="pl-PL"/>
        </w:rPr>
        <w:br/>
      </w:r>
      <w:r>
        <w:rPr>
          <w:rFonts w:ascii="Times New Roman" w:hAnsi="Times New Roman" w:cs="Times New Roman"/>
          <w:color w:val="222937"/>
          <w:sz w:val="24"/>
          <w:szCs w:val="24"/>
          <w:lang w:eastAsia="pl-PL"/>
        </w:rPr>
        <w:lastRenderedPageBreak/>
        <w:t xml:space="preserve">    * obsługa administracyjna i zarządzanie komponentem krajowym programu </w:t>
      </w:r>
      <w:proofErr w:type="spellStart"/>
      <w:r>
        <w:rPr>
          <w:rFonts w:ascii="Times New Roman" w:hAnsi="Times New Roman" w:cs="Times New Roman"/>
          <w:color w:val="222937"/>
          <w:sz w:val="24"/>
          <w:szCs w:val="24"/>
          <w:lang w:eastAsia="pl-PL"/>
        </w:rPr>
        <w:t>Phare</w:t>
      </w:r>
      <w:proofErr w:type="spellEnd"/>
      <w:r>
        <w:rPr>
          <w:rFonts w:ascii="Times New Roman" w:hAnsi="Times New Roman" w:cs="Times New Roman"/>
          <w:color w:val="222937"/>
          <w:sz w:val="24"/>
          <w:szCs w:val="24"/>
          <w:lang w:eastAsia="pl-PL"/>
        </w:rPr>
        <w:t>,</w:t>
      </w:r>
      <w:r>
        <w:rPr>
          <w:rFonts w:ascii="Times New Roman" w:hAnsi="Times New Roman" w:cs="Times New Roman"/>
          <w:color w:val="222937"/>
          <w:sz w:val="24"/>
          <w:szCs w:val="24"/>
          <w:lang w:eastAsia="pl-PL"/>
        </w:rPr>
        <w:br/>
        <w:t>    * pomoc we wdrażaniu sektorowych programów operacyjnych (SPO WKP, SPO RZL)</w:t>
      </w:r>
      <w:r>
        <w:rPr>
          <w:rFonts w:ascii="Times New Roman" w:hAnsi="Times New Roman" w:cs="Times New Roman"/>
          <w:color w:val="222937"/>
          <w:sz w:val="24"/>
          <w:szCs w:val="24"/>
          <w:lang w:eastAsia="pl-PL"/>
        </w:rPr>
        <w:br/>
        <w:t>    * promocja programów adresowana do potencjalnych wykonawców usług doradczych,</w:t>
      </w:r>
      <w:r>
        <w:rPr>
          <w:rFonts w:ascii="Times New Roman" w:hAnsi="Times New Roman" w:cs="Times New Roman"/>
          <w:color w:val="222937"/>
          <w:sz w:val="24"/>
          <w:szCs w:val="24"/>
          <w:lang w:eastAsia="pl-PL"/>
        </w:rPr>
        <w:br/>
        <w:t>    * promocja programów adresowana do potencjalnych beneficjentów (przedsiębiorców),</w:t>
      </w:r>
      <w:r>
        <w:rPr>
          <w:rFonts w:ascii="Times New Roman" w:hAnsi="Times New Roman" w:cs="Times New Roman"/>
          <w:color w:val="222937"/>
          <w:sz w:val="24"/>
          <w:szCs w:val="24"/>
          <w:lang w:eastAsia="pl-PL"/>
        </w:rPr>
        <w:br/>
        <w:t>    * współpraca z PARP w zakresie merytorycznego i finansowego monitoringu wdrażanych programów,</w:t>
      </w:r>
      <w:r>
        <w:rPr>
          <w:rFonts w:ascii="Times New Roman" w:hAnsi="Times New Roman" w:cs="Times New Roman"/>
          <w:color w:val="222937"/>
          <w:sz w:val="24"/>
          <w:szCs w:val="24"/>
          <w:lang w:eastAsia="pl-PL"/>
        </w:rPr>
        <w:br/>
        <w:t>    * sporządzanie raportów merytorycznych i finansowych,</w:t>
      </w:r>
      <w:r>
        <w:rPr>
          <w:rFonts w:ascii="Times New Roman" w:hAnsi="Times New Roman" w:cs="Times New Roman"/>
          <w:color w:val="222937"/>
          <w:sz w:val="24"/>
          <w:szCs w:val="24"/>
          <w:lang w:eastAsia="pl-PL"/>
        </w:rPr>
        <w:br/>
        <w:t>    * prowadzenie bazy danych o uczestnikach programów.</w:t>
      </w:r>
      <w:r>
        <w:rPr>
          <w:rFonts w:ascii="Times New Roman" w:hAnsi="Times New Roman" w:cs="Times New Roman"/>
          <w:color w:val="222937"/>
          <w:sz w:val="24"/>
          <w:szCs w:val="24"/>
          <w:lang w:eastAsia="pl-PL"/>
        </w:rPr>
        <w:br/>
        <w:t>Fundacja Małych i Średnich Przedsiębiorstw</w:t>
      </w:r>
      <w:r>
        <w:rPr>
          <w:rFonts w:ascii="Times New Roman" w:hAnsi="Times New Roman" w:cs="Times New Roman"/>
          <w:color w:val="222937"/>
          <w:sz w:val="24"/>
          <w:szCs w:val="24"/>
          <w:lang w:eastAsia="pl-PL"/>
        </w:rPr>
        <w:br/>
        <w:t>Ul. Smocza 27</w:t>
      </w:r>
      <w:r>
        <w:rPr>
          <w:rFonts w:ascii="Times New Roman" w:hAnsi="Times New Roman" w:cs="Times New Roman"/>
          <w:color w:val="222937"/>
          <w:sz w:val="24"/>
          <w:szCs w:val="24"/>
          <w:lang w:eastAsia="pl-PL"/>
        </w:rPr>
        <w:br/>
        <w:t>01-048 Warszawa</w:t>
      </w:r>
      <w:r>
        <w:rPr>
          <w:rFonts w:ascii="Times New Roman" w:hAnsi="Times New Roman" w:cs="Times New Roman"/>
          <w:color w:val="222937"/>
          <w:sz w:val="24"/>
          <w:szCs w:val="24"/>
          <w:lang w:eastAsia="pl-PL"/>
        </w:rPr>
        <w:br/>
        <w:t>Tel.: (0-22) 838-02-91</w:t>
      </w:r>
      <w:r>
        <w:rPr>
          <w:rFonts w:ascii="Times New Roman" w:hAnsi="Times New Roman" w:cs="Times New Roman"/>
          <w:color w:val="222937"/>
          <w:sz w:val="24"/>
          <w:szCs w:val="24"/>
          <w:lang w:eastAsia="pl-PL"/>
        </w:rPr>
        <w:br/>
        <w:t>Fax.: (0-22) 838-02-61</w:t>
      </w:r>
      <w:r>
        <w:rPr>
          <w:rFonts w:ascii="Times New Roman" w:hAnsi="Times New Roman" w:cs="Times New Roman"/>
          <w:color w:val="222937"/>
          <w:sz w:val="24"/>
          <w:szCs w:val="24"/>
          <w:lang w:eastAsia="pl-PL"/>
        </w:rPr>
        <w:br/>
        <w:t xml:space="preserve">E-mail: </w:t>
      </w:r>
      <w:hyperlink r:id="rId6" w:history="1">
        <w:r>
          <w:rPr>
            <w:rFonts w:ascii="Times New Roman" w:hAnsi="Times New Roman" w:cs="Times New Roman"/>
            <w:color w:val="222937"/>
            <w:sz w:val="24"/>
            <w:szCs w:val="24"/>
            <w:lang w:eastAsia="pl-PL"/>
          </w:rPr>
          <w:t>izbarimp@fund.org.pl</w:t>
        </w:r>
      </w:hyperlink>
      <w:r>
        <w:rPr>
          <w:rFonts w:ascii="Times New Roman" w:hAnsi="Times New Roman" w:cs="Times New Roman"/>
          <w:color w:val="222937"/>
          <w:sz w:val="24"/>
          <w:szCs w:val="24"/>
          <w:lang w:eastAsia="pl-PL"/>
        </w:rPr>
        <w:br/>
      </w:r>
      <w:hyperlink r:id="rId7" w:history="1">
        <w:r>
          <w:rPr>
            <w:rFonts w:ascii="Times New Roman" w:hAnsi="Times New Roman" w:cs="Times New Roman"/>
            <w:color w:val="222937"/>
            <w:sz w:val="24"/>
            <w:szCs w:val="24"/>
            <w:lang w:eastAsia="pl-PL"/>
          </w:rPr>
          <w:t>http://www.fund.org.pl</w:t>
        </w:r>
      </w:hyperlink>
    </w:p>
    <w:p w:rsidR="00764AC4" w:rsidRDefault="00764AC4" w:rsidP="00764AC4">
      <w:pPr>
        <w:spacing w:before="100" w:beforeAutospacing="1" w:after="100" w:afterAutospacing="1" w:line="360" w:lineRule="auto"/>
        <w:outlineLvl w:val="3"/>
        <w:rPr>
          <w:rFonts w:ascii="Times New Roman" w:hAnsi="Times New Roman" w:cs="Times New Roman"/>
          <w:b/>
          <w:bCs/>
          <w:color w:val="222937"/>
          <w:sz w:val="24"/>
          <w:szCs w:val="24"/>
          <w:lang w:eastAsia="pl-PL"/>
        </w:rPr>
      </w:pPr>
      <w:r>
        <w:rPr>
          <w:rFonts w:ascii="Times New Roman" w:hAnsi="Times New Roman" w:cs="Times New Roman"/>
          <w:b/>
          <w:bCs/>
          <w:color w:val="222937"/>
          <w:sz w:val="24"/>
          <w:szCs w:val="24"/>
          <w:lang w:eastAsia="pl-PL"/>
        </w:rPr>
        <w:t>Krajowy System Usług dla Małych i Średnich Przedsiębiorstw (KSU)</w:t>
      </w:r>
    </w:p>
    <w:p w:rsidR="00764AC4" w:rsidRDefault="00764AC4" w:rsidP="00764AC4">
      <w:pPr>
        <w:spacing w:after="0"/>
        <w:ind w:firstLine="708"/>
        <w:jc w:val="both"/>
        <w:rPr>
          <w:rFonts w:ascii="Times New Roman" w:hAnsi="Times New Roman" w:cs="Times New Roman"/>
          <w:color w:val="222937"/>
          <w:sz w:val="24"/>
          <w:szCs w:val="24"/>
          <w:lang w:eastAsia="pl-PL"/>
        </w:rPr>
      </w:pPr>
      <w:r>
        <w:rPr>
          <w:rFonts w:ascii="Times New Roman" w:hAnsi="Times New Roman" w:cs="Times New Roman"/>
          <w:color w:val="222937"/>
          <w:sz w:val="24"/>
          <w:szCs w:val="24"/>
          <w:lang w:eastAsia="pl-PL"/>
        </w:rPr>
        <w:t xml:space="preserve">Krajowy System Usług dla Małych i Średnich Przedsiębiorstw jest siecią dobrowolnie współpracujących ze sobą niekomercyjnych organizacji świadczących pomoc na rzecz </w:t>
      </w:r>
      <w:proofErr w:type="spellStart"/>
      <w:r>
        <w:rPr>
          <w:rFonts w:ascii="Times New Roman" w:hAnsi="Times New Roman" w:cs="Times New Roman"/>
          <w:color w:val="222937"/>
          <w:sz w:val="24"/>
          <w:szCs w:val="24"/>
          <w:lang w:eastAsia="pl-PL"/>
        </w:rPr>
        <w:t>mikroprzedsiębiorstw</w:t>
      </w:r>
      <w:proofErr w:type="spellEnd"/>
      <w:r>
        <w:rPr>
          <w:rFonts w:ascii="Times New Roman" w:hAnsi="Times New Roman" w:cs="Times New Roman"/>
          <w:color w:val="222937"/>
          <w:sz w:val="24"/>
          <w:szCs w:val="24"/>
          <w:lang w:eastAsia="pl-PL"/>
        </w:rPr>
        <w:t>, małych i średnich przedsiębiorstw oraz osób podejmujących działalność gospodarczą, i pełni usługi:</w:t>
      </w:r>
    </w:p>
    <w:p w:rsidR="00764AC4" w:rsidRDefault="00764AC4" w:rsidP="00764AC4">
      <w:pPr>
        <w:spacing w:after="0"/>
        <w:rPr>
          <w:rFonts w:ascii="Times New Roman" w:hAnsi="Times New Roman" w:cs="Times New Roman"/>
          <w:color w:val="222937"/>
          <w:sz w:val="24"/>
          <w:szCs w:val="24"/>
          <w:lang w:eastAsia="pl-PL"/>
        </w:rPr>
      </w:pPr>
      <w:r>
        <w:rPr>
          <w:rFonts w:ascii="Times New Roman" w:hAnsi="Times New Roman" w:cs="Times New Roman"/>
          <w:color w:val="222937"/>
          <w:sz w:val="24"/>
          <w:szCs w:val="24"/>
          <w:lang w:eastAsia="pl-PL"/>
        </w:rPr>
        <w:t>Doradcze:</w:t>
      </w:r>
      <w:r>
        <w:rPr>
          <w:rFonts w:ascii="Times New Roman" w:hAnsi="Times New Roman" w:cs="Times New Roman"/>
          <w:color w:val="222937"/>
          <w:sz w:val="24"/>
          <w:szCs w:val="24"/>
          <w:lang w:eastAsia="pl-PL"/>
        </w:rPr>
        <w:br/>
        <w:t>    * specjalistyczne doradztwo w dziedzinie: marketingu, finansów, prawa, planowania i zarządzania, innowacji i transferu technologii, eksportu i jakości,</w:t>
      </w:r>
      <w:r>
        <w:rPr>
          <w:rFonts w:ascii="Times New Roman" w:hAnsi="Times New Roman" w:cs="Times New Roman"/>
          <w:color w:val="222937"/>
          <w:sz w:val="24"/>
          <w:szCs w:val="24"/>
          <w:lang w:eastAsia="pl-PL"/>
        </w:rPr>
        <w:br/>
        <w:t>    * podstawowe doradztwo dla osób rozpoczynających działalność gospodarczą.</w:t>
      </w:r>
      <w:r>
        <w:rPr>
          <w:rFonts w:ascii="Times New Roman" w:hAnsi="Times New Roman" w:cs="Times New Roman"/>
          <w:color w:val="222937"/>
          <w:sz w:val="24"/>
          <w:szCs w:val="24"/>
          <w:lang w:eastAsia="pl-PL"/>
        </w:rPr>
        <w:br/>
        <w:t>Szkoleniowe:</w:t>
      </w:r>
      <w:r>
        <w:rPr>
          <w:rFonts w:ascii="Times New Roman" w:hAnsi="Times New Roman" w:cs="Times New Roman"/>
          <w:color w:val="222937"/>
          <w:sz w:val="24"/>
          <w:szCs w:val="24"/>
          <w:lang w:eastAsia="pl-PL"/>
        </w:rPr>
        <w:br/>
        <w:t>    * specjalistyczne, np. z zakresu marketingu, finansów i zarządzania,</w:t>
      </w:r>
      <w:r>
        <w:rPr>
          <w:rFonts w:ascii="Times New Roman" w:hAnsi="Times New Roman" w:cs="Times New Roman"/>
          <w:color w:val="222937"/>
          <w:sz w:val="24"/>
          <w:szCs w:val="24"/>
          <w:lang w:eastAsia="pl-PL"/>
        </w:rPr>
        <w:br/>
        <w:t>    * dla osób rozpoczynających działalność gospodarczą,</w:t>
      </w:r>
      <w:r>
        <w:rPr>
          <w:rFonts w:ascii="Times New Roman" w:hAnsi="Times New Roman" w:cs="Times New Roman"/>
          <w:color w:val="222937"/>
          <w:sz w:val="24"/>
          <w:szCs w:val="24"/>
          <w:lang w:eastAsia="pl-PL"/>
        </w:rPr>
        <w:br/>
        <w:t>    * branżowe,</w:t>
      </w:r>
      <w:r>
        <w:rPr>
          <w:rFonts w:ascii="Times New Roman" w:hAnsi="Times New Roman" w:cs="Times New Roman"/>
          <w:color w:val="222937"/>
          <w:sz w:val="24"/>
          <w:szCs w:val="24"/>
          <w:lang w:eastAsia="pl-PL"/>
        </w:rPr>
        <w:br/>
        <w:t>    * ogólne (m.in. komputerowe, językowe).</w:t>
      </w:r>
      <w:r>
        <w:rPr>
          <w:rFonts w:ascii="Times New Roman" w:hAnsi="Times New Roman" w:cs="Times New Roman"/>
          <w:color w:val="222937"/>
          <w:sz w:val="24"/>
          <w:szCs w:val="24"/>
          <w:lang w:eastAsia="pl-PL"/>
        </w:rPr>
        <w:br/>
        <w:t>Informacyjne:</w:t>
      </w:r>
      <w:r>
        <w:rPr>
          <w:rFonts w:ascii="Times New Roman" w:hAnsi="Times New Roman" w:cs="Times New Roman"/>
          <w:color w:val="222937"/>
          <w:sz w:val="24"/>
          <w:szCs w:val="24"/>
          <w:lang w:eastAsia="pl-PL"/>
        </w:rPr>
        <w:br/>
        <w:t>    * kojarzenie partnerów gospodarczych,</w:t>
      </w:r>
      <w:r>
        <w:rPr>
          <w:rFonts w:ascii="Times New Roman" w:hAnsi="Times New Roman" w:cs="Times New Roman"/>
          <w:color w:val="222937"/>
          <w:sz w:val="24"/>
          <w:szCs w:val="24"/>
          <w:lang w:eastAsia="pl-PL"/>
        </w:rPr>
        <w:br/>
        <w:t>    * sprawdzanie wiarygodności partnerów handlowych (wywiad gospodarczy),</w:t>
      </w:r>
      <w:r>
        <w:rPr>
          <w:rFonts w:ascii="Times New Roman" w:hAnsi="Times New Roman" w:cs="Times New Roman"/>
          <w:color w:val="222937"/>
          <w:sz w:val="24"/>
          <w:szCs w:val="24"/>
          <w:lang w:eastAsia="pl-PL"/>
        </w:rPr>
        <w:br/>
        <w:t>    * udzielanie informacji o targach,</w:t>
      </w:r>
      <w:r>
        <w:rPr>
          <w:rFonts w:ascii="Times New Roman" w:hAnsi="Times New Roman" w:cs="Times New Roman"/>
          <w:color w:val="222937"/>
          <w:sz w:val="24"/>
          <w:szCs w:val="24"/>
          <w:lang w:eastAsia="pl-PL"/>
        </w:rPr>
        <w:br/>
        <w:t>Finansowe:</w:t>
      </w:r>
      <w:r>
        <w:rPr>
          <w:rFonts w:ascii="Times New Roman" w:hAnsi="Times New Roman" w:cs="Times New Roman"/>
          <w:color w:val="222937"/>
          <w:sz w:val="24"/>
          <w:szCs w:val="24"/>
          <w:lang w:eastAsia="pl-PL"/>
        </w:rPr>
        <w:br/>
        <w:t>    * pomoc w poszukiwaniu finansowania zewnętrznego, informowanie o preferencyjnych kredytach, sporządzanie biznes-planów,</w:t>
      </w:r>
    </w:p>
    <w:p w:rsidR="00764AC4" w:rsidRDefault="00764AC4" w:rsidP="00764AC4">
      <w:pPr>
        <w:spacing w:after="0"/>
        <w:rPr>
          <w:rFonts w:ascii="Times New Roman" w:hAnsi="Times New Roman" w:cs="Times New Roman"/>
          <w:color w:val="222937"/>
          <w:sz w:val="24"/>
          <w:szCs w:val="24"/>
          <w:lang w:eastAsia="pl-PL"/>
        </w:rPr>
      </w:pPr>
      <w:r>
        <w:rPr>
          <w:rFonts w:ascii="Times New Roman" w:hAnsi="Times New Roman" w:cs="Times New Roman"/>
          <w:color w:val="222937"/>
          <w:sz w:val="24"/>
          <w:szCs w:val="24"/>
          <w:lang w:eastAsia="pl-PL"/>
        </w:rPr>
        <w:t xml:space="preserve">    * udzielanie poręczeń kredytowych, stanowiących dodatkową formę zabezpieczenia kredytów (fundusze poręczeń kredytowych),    </w:t>
      </w:r>
    </w:p>
    <w:p w:rsidR="00764AC4" w:rsidRDefault="00764AC4" w:rsidP="00764AC4">
      <w:pPr>
        <w:spacing w:after="0"/>
        <w:rPr>
          <w:rFonts w:ascii="Times New Roman" w:hAnsi="Times New Roman" w:cs="Times New Roman"/>
          <w:color w:val="222937"/>
          <w:sz w:val="24"/>
          <w:szCs w:val="24"/>
          <w:lang w:eastAsia="pl-PL"/>
        </w:rPr>
      </w:pPr>
      <w:r>
        <w:rPr>
          <w:rFonts w:ascii="Times New Roman" w:hAnsi="Times New Roman" w:cs="Times New Roman"/>
          <w:color w:val="222937"/>
          <w:sz w:val="24"/>
          <w:szCs w:val="24"/>
          <w:lang w:eastAsia="pl-PL"/>
        </w:rPr>
        <w:t xml:space="preserve">* udzielanie pożyczek na rozpoczęcie lub rozwój działalności gospodarczej (lokalne fundusze pożyczkowe). </w:t>
      </w:r>
    </w:p>
    <w:p w:rsidR="00764AC4" w:rsidRDefault="00764AC4" w:rsidP="00764AC4">
      <w:pPr>
        <w:spacing w:after="0"/>
        <w:ind w:firstLine="708"/>
        <w:jc w:val="both"/>
        <w:rPr>
          <w:rFonts w:ascii="Times New Roman" w:hAnsi="Times New Roman" w:cs="Times New Roman"/>
          <w:color w:val="222937"/>
          <w:sz w:val="24"/>
          <w:szCs w:val="24"/>
          <w:lang w:eastAsia="pl-PL"/>
        </w:rPr>
      </w:pPr>
      <w:r>
        <w:rPr>
          <w:rFonts w:ascii="Times New Roman" w:hAnsi="Times New Roman" w:cs="Times New Roman"/>
          <w:color w:val="222937"/>
          <w:sz w:val="24"/>
          <w:szCs w:val="24"/>
          <w:lang w:eastAsia="pl-PL"/>
        </w:rPr>
        <w:t xml:space="preserve">Misją KSU jest partnerskie wspieranie rozwoju małych i średnich przedsiębiorców. Podstawowym celem systemu jest podniesienie konkurencyjności polskich MSP poprzez </w:t>
      </w:r>
      <w:r>
        <w:rPr>
          <w:rFonts w:ascii="Times New Roman" w:hAnsi="Times New Roman" w:cs="Times New Roman"/>
          <w:color w:val="222937"/>
          <w:sz w:val="24"/>
          <w:szCs w:val="24"/>
          <w:lang w:eastAsia="pl-PL"/>
        </w:rPr>
        <w:lastRenderedPageBreak/>
        <w:t>dostarczenie im kompleksowej oferty wysokiej jakości usług oraz przygotowanie ich do działania na Jednolitym Rynku Unii Europejskiej. Uczestnictwo w systemie jest całkowicie dobrowolne, współpraca między ośrodkami ma na celu wyłącznie rozwój systemu wsparcia małych i średnich firm, a tym samym zwiększenie ich konkurencyjności. Rejestracja w KSU nie wiąże się bezpośrednio z żadnymi korzyściami materialnymi. Podmioty zarejestrowane              w KSU nie działają dla zysku lub przeznaczają go na cele związane z zadaniami PARP. KSU nie jest systemem zamkniętym. Proces rejestracji w KSU prowadzony jest w trybie ciągłym, na podstawie rozporządzenia Ministra Gospodarki i Pracy z dnia 27 stycznia 2005 r.               w sprawie Krajowego Systemu Usług dla Małych i Średnich Przedsiębiorstw (</w:t>
      </w:r>
      <w:proofErr w:type="spellStart"/>
      <w:r>
        <w:rPr>
          <w:rFonts w:ascii="Times New Roman" w:hAnsi="Times New Roman" w:cs="Times New Roman"/>
          <w:color w:val="222937"/>
          <w:sz w:val="24"/>
          <w:szCs w:val="24"/>
          <w:lang w:eastAsia="pl-PL"/>
        </w:rPr>
        <w:t>Dz.U</w:t>
      </w:r>
      <w:proofErr w:type="spellEnd"/>
      <w:r>
        <w:rPr>
          <w:rFonts w:ascii="Times New Roman" w:hAnsi="Times New Roman" w:cs="Times New Roman"/>
          <w:color w:val="222937"/>
          <w:sz w:val="24"/>
          <w:szCs w:val="24"/>
          <w:lang w:eastAsia="pl-PL"/>
        </w:rPr>
        <w:t>. Nr 27, poz. 221), w wyniku którego do sieci włączane są systematycznie kolejne organizacje. Obecnie w KSU zarejestrowanych jest ponad 100 podmiotów. Organizacja KSU: Krajowy System Usług dla Małych i Średnich Przedsiębiorstw skupia organizacje, które złożyły wniosek o rejestrację w KSU i spełniają wymagania określone w rozporządzeniu Ministra Gospodarki i Pracy z dnia 27 stycznia 2005 r. w sprawie Krajowego System Usług dla Małych i Średnich Przedsiębiorstw (</w:t>
      </w:r>
      <w:proofErr w:type="spellStart"/>
      <w:r>
        <w:rPr>
          <w:rFonts w:ascii="Times New Roman" w:hAnsi="Times New Roman" w:cs="Times New Roman"/>
          <w:color w:val="222937"/>
          <w:sz w:val="24"/>
          <w:szCs w:val="24"/>
          <w:lang w:eastAsia="pl-PL"/>
        </w:rPr>
        <w:t>Dz.U</w:t>
      </w:r>
      <w:proofErr w:type="spellEnd"/>
      <w:r>
        <w:rPr>
          <w:rFonts w:ascii="Times New Roman" w:hAnsi="Times New Roman" w:cs="Times New Roman"/>
          <w:color w:val="222937"/>
          <w:sz w:val="24"/>
          <w:szCs w:val="24"/>
          <w:lang w:eastAsia="pl-PL"/>
        </w:rPr>
        <w:t>. Nr 27, poz. 221) oraz ustawy z dnia 9 listopada 2000 r. o utworzeniu Polskiej Agencji Rozwoju Przedsiębiorczości (</w:t>
      </w:r>
      <w:proofErr w:type="spellStart"/>
      <w:r>
        <w:rPr>
          <w:rFonts w:ascii="Times New Roman" w:hAnsi="Times New Roman" w:cs="Times New Roman"/>
          <w:color w:val="222937"/>
          <w:sz w:val="24"/>
          <w:szCs w:val="24"/>
          <w:lang w:eastAsia="pl-PL"/>
        </w:rPr>
        <w:t>Dz.U</w:t>
      </w:r>
      <w:proofErr w:type="spellEnd"/>
      <w:r>
        <w:rPr>
          <w:rFonts w:ascii="Times New Roman" w:hAnsi="Times New Roman" w:cs="Times New Roman"/>
          <w:color w:val="222937"/>
          <w:sz w:val="24"/>
          <w:szCs w:val="24"/>
          <w:lang w:eastAsia="pl-PL"/>
        </w:rPr>
        <w:t xml:space="preserve">. Nr 109, poz. 1158, z </w:t>
      </w:r>
      <w:proofErr w:type="spellStart"/>
      <w:r>
        <w:rPr>
          <w:rFonts w:ascii="Times New Roman" w:hAnsi="Times New Roman" w:cs="Times New Roman"/>
          <w:color w:val="222937"/>
          <w:sz w:val="24"/>
          <w:szCs w:val="24"/>
          <w:lang w:eastAsia="pl-PL"/>
        </w:rPr>
        <w:t>późn</w:t>
      </w:r>
      <w:proofErr w:type="spellEnd"/>
      <w:r>
        <w:rPr>
          <w:rFonts w:ascii="Times New Roman" w:hAnsi="Times New Roman" w:cs="Times New Roman"/>
          <w:color w:val="222937"/>
          <w:sz w:val="24"/>
          <w:szCs w:val="24"/>
          <w:lang w:eastAsia="pl-PL"/>
        </w:rPr>
        <w:t xml:space="preserve">. zm.).Organizacje te nie są nastawione na generowanie zysku lub przeznaczają zysk na cele zgodne z zadaniami PARP. Z założenia podmioty, które mogą zostać zarejestrowane               w KSU posiadają doświadczenie w świadczeniu usług na rzecz </w:t>
      </w:r>
      <w:proofErr w:type="spellStart"/>
      <w:r>
        <w:rPr>
          <w:rFonts w:ascii="Times New Roman" w:hAnsi="Times New Roman" w:cs="Times New Roman"/>
          <w:color w:val="222937"/>
          <w:sz w:val="24"/>
          <w:szCs w:val="24"/>
          <w:lang w:eastAsia="pl-PL"/>
        </w:rPr>
        <w:t>mikroprzedsiębiorców</w:t>
      </w:r>
      <w:proofErr w:type="spellEnd"/>
      <w:r>
        <w:rPr>
          <w:rFonts w:ascii="Times New Roman" w:hAnsi="Times New Roman" w:cs="Times New Roman"/>
          <w:color w:val="222937"/>
          <w:sz w:val="24"/>
          <w:szCs w:val="24"/>
          <w:lang w:eastAsia="pl-PL"/>
        </w:rPr>
        <w:t xml:space="preserve">, małych i średnich przedsiębiorstw oraz osób podejmujących działalność gospodarczą. Wśród podmiotów zarejestrowanych w KSU mogą znajdować się m.in.: agencje rozwoju regionalnego, centra wspierania biznesu, fundacje, stowarzyszenia, kluby oraz inne organizacje przedsiębiorców i pracodawców, fundusze </w:t>
      </w:r>
      <w:proofErr w:type="spellStart"/>
      <w:r>
        <w:rPr>
          <w:rFonts w:ascii="Times New Roman" w:hAnsi="Times New Roman" w:cs="Times New Roman"/>
          <w:color w:val="222937"/>
          <w:sz w:val="24"/>
          <w:szCs w:val="24"/>
          <w:lang w:eastAsia="pl-PL"/>
        </w:rPr>
        <w:t>poręczeniowe</w:t>
      </w:r>
      <w:proofErr w:type="spellEnd"/>
      <w:r>
        <w:rPr>
          <w:rFonts w:ascii="Times New Roman" w:hAnsi="Times New Roman" w:cs="Times New Roman"/>
          <w:color w:val="222937"/>
          <w:sz w:val="24"/>
          <w:szCs w:val="24"/>
          <w:lang w:eastAsia="pl-PL"/>
        </w:rPr>
        <w:t xml:space="preserve">, fundusze pożyczkowe, inkubatory przedsiębiorczości, instytuty badawczo-rozwojowe, izby gospodarcze, izby przemysłowo-handlowe, izby branżowe, izby rzemieślnicze, ośrodki innowacji i technologii, ośrodki wspierania przedsiębiorczości, oraz inne organizacje pozarządowe. Ośrodki zarejestrowane w KSU współpracują ze sobą na szczeblu lokalnym, regionalnym (wojewódzkim) oraz ogólnopolskim. W każdym z województw, podczas spotkań regionalnych, wybierani są dwaj przedstawiciele ośrodków KSU, którzy zajmują się organizacją prac w regionie oraz reprezentują go w Radzie Koordynacyjnej KSU. Lista wszystkich ośrodków należących do Krajowego Rejestru Usług znajduje się na stronie internetowej: </w:t>
      </w:r>
      <w:hyperlink r:id="rId8" w:history="1">
        <w:r>
          <w:rPr>
            <w:rFonts w:ascii="Times New Roman" w:hAnsi="Times New Roman" w:cs="Times New Roman"/>
            <w:color w:val="222937"/>
            <w:sz w:val="24"/>
            <w:szCs w:val="24"/>
            <w:lang w:eastAsia="pl-PL"/>
          </w:rPr>
          <w:t>www.ksu.parp.gov.pl/lista.html</w:t>
        </w:r>
      </w:hyperlink>
      <w:r>
        <w:rPr>
          <w:rFonts w:ascii="Times New Roman" w:hAnsi="Times New Roman" w:cs="Times New Roman"/>
          <w:color w:val="222937"/>
          <w:sz w:val="24"/>
          <w:szCs w:val="24"/>
          <w:lang w:eastAsia="pl-PL"/>
        </w:rPr>
        <w:t>.</w:t>
      </w:r>
    </w:p>
    <w:p w:rsidR="00764AC4" w:rsidRDefault="00764AC4" w:rsidP="00764AC4">
      <w:pPr>
        <w:spacing w:after="0"/>
        <w:jc w:val="both"/>
        <w:rPr>
          <w:rFonts w:ascii="Times New Roman" w:hAnsi="Times New Roman" w:cs="Times New Roman"/>
          <w:color w:val="222937"/>
          <w:sz w:val="24"/>
          <w:szCs w:val="24"/>
          <w:lang w:eastAsia="pl-PL"/>
        </w:rPr>
      </w:pPr>
    </w:p>
    <w:p w:rsidR="00764AC4" w:rsidRDefault="00764AC4" w:rsidP="00764AC4">
      <w:pPr>
        <w:spacing w:before="100" w:beforeAutospacing="1" w:after="100" w:afterAutospacing="1" w:line="360" w:lineRule="auto"/>
        <w:outlineLvl w:val="3"/>
        <w:rPr>
          <w:rFonts w:ascii="Times New Roman" w:hAnsi="Times New Roman" w:cs="Times New Roman"/>
          <w:b/>
          <w:bCs/>
          <w:color w:val="222937"/>
          <w:sz w:val="24"/>
          <w:szCs w:val="24"/>
          <w:lang w:eastAsia="pl-PL"/>
        </w:rPr>
      </w:pPr>
      <w:r>
        <w:rPr>
          <w:rFonts w:ascii="Times New Roman" w:hAnsi="Times New Roman" w:cs="Times New Roman"/>
          <w:b/>
          <w:bCs/>
          <w:color w:val="222937"/>
          <w:sz w:val="24"/>
          <w:szCs w:val="24"/>
          <w:lang w:eastAsia="pl-PL"/>
        </w:rPr>
        <w:t>Punkty Konsultacyjne (PK)</w:t>
      </w:r>
    </w:p>
    <w:p w:rsidR="00764AC4" w:rsidRDefault="00764AC4" w:rsidP="00764AC4">
      <w:pPr>
        <w:pStyle w:val="NormalnyWeb"/>
        <w:spacing w:line="276" w:lineRule="auto"/>
        <w:ind w:firstLine="708"/>
        <w:jc w:val="both"/>
        <w:rPr>
          <w:rFonts w:ascii="Times New Roman" w:hAnsi="Times New Roman" w:cs="Times New Roman"/>
          <w:color w:val="222937"/>
        </w:rPr>
      </w:pPr>
      <w:r>
        <w:rPr>
          <w:rFonts w:ascii="Times New Roman" w:hAnsi="Times New Roman" w:cs="Times New Roman"/>
          <w:color w:val="222937"/>
        </w:rPr>
        <w:t>Punkty Konsultacyjno-Doradcze (PKD) są to działające na terenie całej Polski, wyłonione w drodze konkursu, organizacje działające na rzecz rozwoju przedsiębiorczości na zasadach niekomercyjnych (w tym urzędy miejskie i powiatowe), które świadczą bezpłatne usługi doradcze na rzecz małych i średnich przedsiębiorstw oraz osób podejmujących działalność gospodarczą. Usługi, o których mowa, obejmują przede wszystkim tzw. doradztwo podstawowe, czyli konsultacje nie wymagające dłuższego zaangażowania czasu pracy konsultanta. Klienci PKD mogą skorzystać łącznie z 10 godzin bezpłatnych usług doradczych.</w:t>
      </w:r>
    </w:p>
    <w:p w:rsidR="00764AC4" w:rsidRDefault="00764AC4" w:rsidP="00764AC4">
      <w:pPr>
        <w:spacing w:after="0"/>
        <w:ind w:firstLine="709"/>
        <w:jc w:val="both"/>
        <w:rPr>
          <w:rFonts w:ascii="Tahoma" w:hAnsi="Tahoma" w:cs="Tahoma"/>
          <w:color w:val="222937"/>
          <w:sz w:val="17"/>
          <w:szCs w:val="17"/>
          <w:lang w:eastAsia="pl-PL"/>
        </w:rPr>
      </w:pPr>
      <w:r>
        <w:rPr>
          <w:rFonts w:ascii="Times New Roman" w:hAnsi="Times New Roman" w:cs="Times New Roman"/>
          <w:color w:val="222937"/>
          <w:sz w:val="24"/>
          <w:szCs w:val="24"/>
          <w:lang w:eastAsia="pl-PL"/>
        </w:rPr>
        <w:lastRenderedPageBreak/>
        <w:t>Punkty Konsultacyjne (PK) pełnią funkcję instytucji pierwszego kontaktu dla małych                        i średnich przedsiębiorców. Na terenie całego kraju działa ich przeszło 170 i ciągle powstają nowe. Do bezpłatnych informacji, jakie mała lub średnia firma może uzyskać w PK zaliczymy przede wszystkim: bezpłatne porady z dziedziny prawa, marketingu, finansów, podatków, produkcji itp., dotyczących prowadzenia działalności oraz zarządzania przedsiębiorstwem. Informują także o dostępnej na rynku ofercie banków oraz innych instytucji finansowych (np. firm leasingowych, funduszy pożyczkowych, funduszy poręczeń kredytowych, funduszy kapitałowych) skierowanej do sektora MSP (wraz ze szczegółami warunków udzielania kredytów), a także o możliwościach i sposobach korzystania ze wsparcia dla MSP dostępnego w PARP (Polskiej Agencji Rozwoju Przedsiębiorczości) lub                w RIF (Regionalnej Instytucji Finansującej).</w:t>
      </w:r>
      <w:r>
        <w:rPr>
          <w:rFonts w:ascii="Tahoma" w:hAnsi="Tahoma" w:cs="Tahoma"/>
          <w:color w:val="222937"/>
          <w:sz w:val="17"/>
          <w:szCs w:val="17"/>
          <w:lang w:eastAsia="pl-PL"/>
        </w:rPr>
        <w:t xml:space="preserve"> </w:t>
      </w:r>
    </w:p>
    <w:p w:rsidR="00764AC4" w:rsidRDefault="00764AC4" w:rsidP="00764AC4">
      <w:pPr>
        <w:spacing w:after="0"/>
        <w:jc w:val="both"/>
        <w:rPr>
          <w:rFonts w:ascii="Tahoma" w:hAnsi="Tahoma" w:cs="Tahoma"/>
          <w:color w:val="222937"/>
          <w:sz w:val="17"/>
          <w:szCs w:val="17"/>
          <w:lang w:eastAsia="pl-PL"/>
        </w:rPr>
      </w:pPr>
    </w:p>
    <w:p w:rsidR="00764AC4" w:rsidRDefault="00764AC4" w:rsidP="00764AC4">
      <w:pPr>
        <w:pStyle w:val="Nagwek5"/>
      </w:pPr>
      <w:r>
        <w:t>Małopolska Izba Rzemiosła i Przedsiębiorczości</w:t>
      </w:r>
    </w:p>
    <w:p w:rsidR="00764AC4" w:rsidRDefault="00764AC4" w:rsidP="00764AC4">
      <w:pPr>
        <w:spacing w:after="0"/>
        <w:jc w:val="both"/>
        <w:rPr>
          <w:rFonts w:ascii="Times New Roman" w:hAnsi="Times New Roman" w:cs="Times New Roman"/>
          <w:color w:val="222937"/>
          <w:sz w:val="24"/>
          <w:szCs w:val="24"/>
          <w:lang w:eastAsia="pl-PL"/>
        </w:rPr>
      </w:pPr>
      <w:r>
        <w:rPr>
          <w:rFonts w:ascii="Times New Roman" w:hAnsi="Times New Roman" w:cs="Times New Roman"/>
          <w:color w:val="222937"/>
          <w:sz w:val="24"/>
          <w:szCs w:val="24"/>
          <w:lang w:eastAsia="pl-PL"/>
        </w:rPr>
        <w:t>W MIRIP udzielane są bezpłatne porady dotyczących działalności firmy.</w:t>
      </w:r>
      <w:r>
        <w:rPr>
          <w:rFonts w:ascii="Times New Roman" w:hAnsi="Times New Roman" w:cs="Times New Roman"/>
          <w:color w:val="222937"/>
          <w:sz w:val="24"/>
          <w:szCs w:val="24"/>
          <w:lang w:eastAsia="pl-PL"/>
        </w:rPr>
        <w:br/>
        <w:t xml:space="preserve"> Można tam też uzyskać informacje z zakresu bezpieczeństwa i higieny pracy. </w:t>
      </w:r>
      <w:r>
        <w:rPr>
          <w:rFonts w:ascii="Times New Roman" w:hAnsi="Times New Roman" w:cs="Times New Roman"/>
          <w:color w:val="222937"/>
          <w:sz w:val="24"/>
          <w:szCs w:val="24"/>
          <w:lang w:eastAsia="pl-PL"/>
        </w:rPr>
        <w:br/>
        <w:t xml:space="preserve">Osoba, która dopiero zamierza uruchomić zakład rzemieślniczy, uzyska też informacje, jak to uczynić. </w:t>
      </w:r>
    </w:p>
    <w:p w:rsidR="00764AC4" w:rsidRDefault="00764AC4" w:rsidP="00764AC4">
      <w:pPr>
        <w:spacing w:after="0"/>
        <w:rPr>
          <w:rFonts w:ascii="Times New Roman" w:hAnsi="Times New Roman" w:cs="Times New Roman"/>
          <w:color w:val="222937"/>
          <w:sz w:val="24"/>
          <w:szCs w:val="24"/>
          <w:lang w:eastAsia="pl-PL"/>
        </w:rPr>
      </w:pPr>
      <w:r>
        <w:rPr>
          <w:rFonts w:ascii="Times New Roman" w:hAnsi="Times New Roman" w:cs="Times New Roman"/>
          <w:color w:val="222937"/>
          <w:sz w:val="24"/>
          <w:szCs w:val="24"/>
          <w:u w:val="single"/>
          <w:lang w:eastAsia="pl-PL"/>
        </w:rPr>
        <w:t>Towarzystwo Inwestycji Społeczno-Ekonomicznych S.A</w:t>
      </w:r>
      <w:r>
        <w:rPr>
          <w:rFonts w:ascii="Times New Roman" w:hAnsi="Times New Roman" w:cs="Times New Roman"/>
          <w:color w:val="222937"/>
          <w:sz w:val="24"/>
          <w:szCs w:val="24"/>
          <w:lang w:eastAsia="pl-PL"/>
        </w:rPr>
        <w:t xml:space="preserve"> </w:t>
      </w:r>
    </w:p>
    <w:p w:rsidR="00764AC4" w:rsidRDefault="00764AC4" w:rsidP="00764AC4">
      <w:pPr>
        <w:pStyle w:val="Tekstpodstawowy2"/>
        <w:spacing w:before="0" w:beforeAutospacing="0" w:after="0" w:afterAutospacing="0" w:line="276" w:lineRule="auto"/>
        <w:ind w:firstLine="0"/>
        <w:outlineLvl w:val="9"/>
        <w:rPr>
          <w:color w:val="222937"/>
          <w:lang w:eastAsia="pl-PL"/>
        </w:rPr>
      </w:pPr>
      <w:r>
        <w:rPr>
          <w:color w:val="222937"/>
          <w:lang w:eastAsia="pl-PL"/>
        </w:rPr>
        <w:t>Ma na celu wspomaganie wszelkich inicjatyw sprzyjających rozwojowi małej i średniej przedsiębiorczości oraz wzrostowi dobrobytu społeczności lokalnych, a także wspiera rozwój społeczeństwa obywatelskiego poprzez współpracę z organizacjami pozarządowymi (fundacjami i stowarzyszeniami)</w:t>
      </w:r>
    </w:p>
    <w:p w:rsidR="00764AC4" w:rsidRDefault="00764AC4" w:rsidP="00764AC4">
      <w:pPr>
        <w:pStyle w:val="Nagwek1"/>
        <w:rPr>
          <w:rFonts w:cs="Times New Roman"/>
        </w:rPr>
      </w:pPr>
      <w:r>
        <w:rPr>
          <w:rFonts w:cs="Times New Roman"/>
        </w:rPr>
        <w:t xml:space="preserve">Centra Euro - </w:t>
      </w:r>
      <w:proofErr w:type="spellStart"/>
      <w:r>
        <w:rPr>
          <w:rFonts w:cs="Times New Roman"/>
        </w:rPr>
        <w:t>Info</w:t>
      </w:r>
      <w:proofErr w:type="spellEnd"/>
    </w:p>
    <w:p w:rsidR="00764AC4" w:rsidRDefault="00764AC4" w:rsidP="00764AC4">
      <w:pPr>
        <w:spacing w:after="0"/>
        <w:ind w:firstLine="708"/>
        <w:jc w:val="both"/>
        <w:rPr>
          <w:rFonts w:ascii="Times New Roman" w:hAnsi="Times New Roman" w:cs="Times New Roman"/>
          <w:color w:val="222937"/>
          <w:sz w:val="24"/>
          <w:szCs w:val="24"/>
          <w:lang w:eastAsia="pl-PL"/>
        </w:rPr>
      </w:pPr>
      <w:r>
        <w:rPr>
          <w:rFonts w:ascii="Times New Roman" w:hAnsi="Times New Roman" w:cs="Times New Roman"/>
          <w:color w:val="222937"/>
          <w:sz w:val="24"/>
          <w:szCs w:val="24"/>
          <w:lang w:eastAsia="pl-PL"/>
        </w:rPr>
        <w:t xml:space="preserve">Projekt EURO INFO </w:t>
      </w:r>
      <w:proofErr w:type="spellStart"/>
      <w:r>
        <w:rPr>
          <w:rFonts w:ascii="Times New Roman" w:hAnsi="Times New Roman" w:cs="Times New Roman"/>
          <w:color w:val="222937"/>
          <w:sz w:val="24"/>
          <w:szCs w:val="24"/>
          <w:lang w:eastAsia="pl-PL"/>
        </w:rPr>
        <w:t>Centres</w:t>
      </w:r>
      <w:proofErr w:type="spellEnd"/>
      <w:r>
        <w:rPr>
          <w:rFonts w:ascii="Times New Roman" w:hAnsi="Times New Roman" w:cs="Times New Roman"/>
          <w:color w:val="222937"/>
          <w:sz w:val="24"/>
          <w:szCs w:val="24"/>
          <w:lang w:eastAsia="pl-PL"/>
        </w:rPr>
        <w:t xml:space="preserve"> (EIC) powstał w Komisji Wspólnot Europejskich                 w 1986 roku jako jeden z kluczowych elementów programu wspierania małych i średnich przedsiębiorstw. Celem działania Centrów Euro </w:t>
      </w:r>
      <w:proofErr w:type="spellStart"/>
      <w:r>
        <w:rPr>
          <w:rFonts w:ascii="Times New Roman" w:hAnsi="Times New Roman" w:cs="Times New Roman"/>
          <w:color w:val="222937"/>
          <w:sz w:val="24"/>
          <w:szCs w:val="24"/>
          <w:lang w:eastAsia="pl-PL"/>
        </w:rPr>
        <w:t>Info</w:t>
      </w:r>
      <w:proofErr w:type="spellEnd"/>
      <w:r>
        <w:rPr>
          <w:rFonts w:ascii="Times New Roman" w:hAnsi="Times New Roman" w:cs="Times New Roman"/>
          <w:color w:val="222937"/>
          <w:sz w:val="24"/>
          <w:szCs w:val="24"/>
          <w:lang w:eastAsia="pl-PL"/>
        </w:rPr>
        <w:t xml:space="preserve"> w Polsce jest przygotowanie polskich małych i średnich przedsiębiorstw do integracji ze strukturami europejskimi i ułatwianie im dostępu do Jednolitego Rynku Unii Europejskiej. Centra Euro - </w:t>
      </w:r>
      <w:proofErr w:type="spellStart"/>
      <w:r>
        <w:rPr>
          <w:rFonts w:ascii="Times New Roman" w:hAnsi="Times New Roman" w:cs="Times New Roman"/>
          <w:color w:val="222937"/>
          <w:sz w:val="24"/>
          <w:szCs w:val="24"/>
          <w:lang w:eastAsia="pl-PL"/>
        </w:rPr>
        <w:t>Info</w:t>
      </w:r>
      <w:proofErr w:type="spellEnd"/>
      <w:r>
        <w:rPr>
          <w:rFonts w:ascii="Times New Roman" w:hAnsi="Times New Roman" w:cs="Times New Roman"/>
          <w:color w:val="222937"/>
          <w:sz w:val="24"/>
          <w:szCs w:val="24"/>
          <w:lang w:eastAsia="pl-PL"/>
        </w:rPr>
        <w:t xml:space="preserve"> swoje zadania realizują przez udzielanie szczegółowych informacji oraz organizowanie warsztatów, szkoleń, seminariów i konferencji dotyczących polityki Unii Europejskiej, m.in. w zakresie: badań               i innowacji; finansowania, jakości i standaryzacji; kultury, edukacji i szkoleń; ochrony środowiska i energii; polityki konkurencji; polityki regionalnej; rozszerzenia UE; społeczeństwa informacyjnego i handlu elektronicznego; unii celnej i podatków; waluty euro; wspólnej polityki rolnej, zatrudnienia i innych.</w:t>
      </w:r>
    </w:p>
    <w:p w:rsidR="00764AC4" w:rsidRDefault="00764AC4" w:rsidP="00764AC4">
      <w:pPr>
        <w:spacing w:after="0"/>
        <w:jc w:val="both"/>
        <w:rPr>
          <w:rFonts w:ascii="Tahoma" w:hAnsi="Tahoma" w:cs="Tahoma"/>
          <w:color w:val="222937"/>
          <w:sz w:val="17"/>
          <w:szCs w:val="17"/>
          <w:lang w:eastAsia="pl-PL"/>
        </w:rPr>
      </w:pPr>
      <w:r>
        <w:rPr>
          <w:rFonts w:ascii="Times New Roman" w:hAnsi="Times New Roman" w:cs="Times New Roman"/>
          <w:color w:val="222937"/>
          <w:sz w:val="24"/>
          <w:szCs w:val="24"/>
          <w:lang w:eastAsia="pl-PL"/>
        </w:rPr>
        <w:t>Można w nich uzyskać również informacje na temat cech Jednolitego Rynku Wewnętrznego Unii Europejskiej, formalno-prawnych warunków współpracy gospodarczej z firmami                      z krajów członkowskich, a w tym regulacji prawnych, prawa handlowego, a także funkcjonowania i podstaw prawnych UE. W EIC udostępnione są także informacje o unijnych programach realizowanych w Polsce lub programach wewnętrznych Unii Europejskiej dostępnych dla polskich firm i instytucji.</w:t>
      </w:r>
      <w:r>
        <w:rPr>
          <w:rFonts w:ascii="Tahoma" w:hAnsi="Tahoma" w:cs="Tahoma"/>
          <w:color w:val="222937"/>
          <w:sz w:val="17"/>
          <w:szCs w:val="17"/>
          <w:lang w:eastAsia="pl-PL"/>
        </w:rPr>
        <w:t xml:space="preserve"> </w:t>
      </w:r>
      <w:r>
        <w:rPr>
          <w:rFonts w:ascii="Times New Roman" w:hAnsi="Times New Roman" w:cs="Times New Roman"/>
          <w:color w:val="222937"/>
          <w:sz w:val="24"/>
          <w:szCs w:val="24"/>
          <w:lang w:eastAsia="pl-PL"/>
        </w:rPr>
        <w:t xml:space="preserve">Bardzo ważna jest pomoc jaką świadczą Centra polskim przedsiębiorstwom w znalezieniu partnerów w krajach Unii Europejskiej (za pośrednictwem sieci biur EIC afiliowanych przy izbach przemysłowych, zrzeszeniach </w:t>
      </w:r>
      <w:r>
        <w:rPr>
          <w:rFonts w:ascii="Times New Roman" w:hAnsi="Times New Roman" w:cs="Times New Roman"/>
          <w:color w:val="222937"/>
          <w:sz w:val="24"/>
          <w:szCs w:val="24"/>
          <w:lang w:eastAsia="pl-PL"/>
        </w:rPr>
        <w:lastRenderedPageBreak/>
        <w:t>pracodawców, gminach, agencjach rozwoju regionalnego lub przy wykorzystaniu bazy danych Komisji Europejskiej). Ponadto organizują udział firm w międzynarodowych imprezach kooperacyjnych, mających na celu ożywienie współpracy między regionami                     i informują o rynkach poszczególnych krajów członkowskich Unii Europejskiej i rynkach regionalnych oraz o przygotowywanych imprezach gospodarczych, a także o przetargach ogłaszanych przez instytucje krajów członkowskich Unii Europejskiej.</w:t>
      </w:r>
    </w:p>
    <w:p w:rsidR="00764AC4" w:rsidRDefault="00764AC4" w:rsidP="00764AC4">
      <w:pPr>
        <w:pStyle w:val="Nagwek1"/>
        <w:rPr>
          <w:rFonts w:cs="Times New Roman"/>
        </w:rPr>
      </w:pPr>
      <w:r>
        <w:rPr>
          <w:rFonts w:cs="Times New Roman"/>
        </w:rPr>
        <w:t>Fundusze Poręczeń Kredytowych</w:t>
      </w:r>
    </w:p>
    <w:p w:rsidR="00764AC4" w:rsidRDefault="00764AC4" w:rsidP="00764AC4">
      <w:pPr>
        <w:spacing w:after="0"/>
        <w:ind w:firstLine="708"/>
        <w:jc w:val="both"/>
        <w:rPr>
          <w:rFonts w:ascii="Times New Roman" w:hAnsi="Times New Roman" w:cs="Times New Roman"/>
          <w:color w:val="222937"/>
          <w:sz w:val="24"/>
          <w:szCs w:val="24"/>
          <w:lang w:eastAsia="pl-PL"/>
        </w:rPr>
      </w:pPr>
      <w:r>
        <w:rPr>
          <w:rFonts w:ascii="Times New Roman" w:hAnsi="Times New Roman" w:cs="Times New Roman"/>
          <w:color w:val="222937"/>
          <w:sz w:val="24"/>
          <w:szCs w:val="24"/>
          <w:lang w:eastAsia="pl-PL"/>
        </w:rPr>
        <w:t>Fundusz poręczeń kredytowych jest instytucją, której misją jest ułatwianie podmiotom gospodarczym dostępu do zewnętrznych źródeł finansowania, a konkretnie kredytów bankowych na prowadzenie działalności gospodarczej. Podstawowym narzędziem prawnym, za pomocą którego instytucja ta realizuje wyznaczony cel, jest umowa poręczenia, zawierana z bankiem udzielającym kredytu. W ten sposób fundusz zobowiązuje się wobec banku do zwrotu poręczonego kredytu lub jego części w przypadku, gdy kredytobiorca nie dopełnił obowiązku spłaty zaciągniętego kredytu. W rezultacie bank otrzymuje dodatkowe, wiarygodne zabezpieczenie, a kredytobiorca możliwość dostępu do oferowanych przez banki środków finansowych umożliwiających realizację planowanego przedsięwzięcia.</w:t>
      </w:r>
      <w:r>
        <w:rPr>
          <w:rFonts w:ascii="Times New Roman" w:hAnsi="Times New Roman" w:cs="Times New Roman"/>
          <w:color w:val="222937"/>
          <w:sz w:val="24"/>
          <w:szCs w:val="24"/>
          <w:lang w:eastAsia="pl-PL"/>
        </w:rPr>
        <w:br/>
        <w:t xml:space="preserve">Oferta finansowa funduszy poręczeń kredytowych skierowana jest głównie do małych                        i średnich przedsiębiorstw. Fundusze poręczeń kredytowych pełnią istotną funkcję                           w lokalnej/regionalnej strukturze gospodarczej. Obok podstawowego celu, jakim jest ułatwienie dostępu małych i średnich przedsiębiorstw do bankowych środków finansowych przynoszą one korzyści bankom w postaci budowania klienteli banku. Ponadto instytucje te przyczyniają się do pobudzenia inwestycji lokalnych, a w dalszej perspektywie do tworzenia nowych miejsc pracy. Fundusze poręczeń kredytowych prowadzone są przez rozmaite instytucje, które różnią się między sobą zarówno wielkością kapitałów będących w ich dyspozycji, jak i procedurami udzielania poręczeń. Również forma prawna, pod jaką prowadzić można fundusz poręczeń kredytowych, nie jest ograniczona. Instytucje prowadzące fundusz poręczeń kredytowych mogą przybierać formę spółki z ograniczoną odpowiedzialnością lub spółki akcyjnej. Fundusze poręczeń kredytowych prowadzone są również przez stowarzyszenia, fundacje i związki gmin. Instytucja prowadząca fundusz może mieć charakter wyspecjalizowany. Oznacza to, iż fundusz stanowi jedyny rodzaj prowadzonej działalności. Zazwyczaj jednak fundusz przybiera postać wewnętrznej komórki organizacyjnej w strukturze określonego podmiotu prawnego, który prowadzi fundusz obok innych form działalności. Podstawą funkcjonowania funduszu jest statut lub umowa spółki     (w zależności od formy prawnej instytucji go prowadzącej), a także regulamin określający m.in. szczegółowe warunki i procedury udzielania poręczeń. Zakres terytorialny funkcjonowania funduszu w przypadku lokalnych funduszy poręczeń kredytowych ograniczony jest zwykle do gminy, kilku gmin lub powiatu. Oznacza to, iż potencjalni adresaci oferty funduszu muszą zwykle posiadać siedzibę na obszarze, w którego granicach funkcjonuje fundusz lub prowadzić na tym terenie działalność gospodarczą. Działalność funduszy poręczeń kredytowych zdeterminowana jest także wielkością posiadanego kapitału. Stanowi on bowiem wyznacznik ich wiarygodności oraz decyduje o ilości i wielkości udzielanych poręczeń. Podstawowym źródłem finansowania funduszy </w:t>
      </w:r>
      <w:proofErr w:type="spellStart"/>
      <w:r>
        <w:rPr>
          <w:rFonts w:ascii="Times New Roman" w:hAnsi="Times New Roman" w:cs="Times New Roman"/>
          <w:color w:val="222937"/>
          <w:sz w:val="24"/>
          <w:szCs w:val="24"/>
          <w:lang w:eastAsia="pl-PL"/>
        </w:rPr>
        <w:t>poręczeniowych</w:t>
      </w:r>
      <w:proofErr w:type="spellEnd"/>
      <w:r>
        <w:rPr>
          <w:rFonts w:ascii="Times New Roman" w:hAnsi="Times New Roman" w:cs="Times New Roman"/>
          <w:color w:val="222937"/>
          <w:sz w:val="24"/>
          <w:szCs w:val="24"/>
          <w:lang w:eastAsia="pl-PL"/>
        </w:rPr>
        <w:t xml:space="preserve"> jest </w:t>
      </w:r>
      <w:r>
        <w:rPr>
          <w:rFonts w:ascii="Times New Roman" w:hAnsi="Times New Roman" w:cs="Times New Roman"/>
          <w:color w:val="222937"/>
          <w:sz w:val="24"/>
          <w:szCs w:val="24"/>
          <w:lang w:eastAsia="pl-PL"/>
        </w:rPr>
        <w:lastRenderedPageBreak/>
        <w:t xml:space="preserve">prowadzona działalność oraz kapitał wniesiony przez założycieli funduszu. W przypadku jednostek samorządu terytorialnego jest to budżet gminy. Instytucje prowadzące fundusze </w:t>
      </w:r>
      <w:proofErr w:type="spellStart"/>
      <w:r>
        <w:rPr>
          <w:rFonts w:ascii="Times New Roman" w:hAnsi="Times New Roman" w:cs="Times New Roman"/>
          <w:color w:val="222937"/>
          <w:sz w:val="24"/>
          <w:szCs w:val="24"/>
          <w:lang w:eastAsia="pl-PL"/>
        </w:rPr>
        <w:t>poręczeniowe</w:t>
      </w:r>
      <w:proofErr w:type="spellEnd"/>
      <w:r>
        <w:rPr>
          <w:rFonts w:ascii="Times New Roman" w:hAnsi="Times New Roman" w:cs="Times New Roman"/>
          <w:color w:val="222937"/>
          <w:sz w:val="24"/>
          <w:szCs w:val="24"/>
          <w:lang w:eastAsia="pl-PL"/>
        </w:rPr>
        <w:t xml:space="preserve"> w celach innych niż osiągnięcie zysku mogą aplikować o ich dokapitalizowanie z krajowych środków publicznych oraz ubiegać się o wsparcie finansowe z Krajowego Funduszu Poręczeń Kredytowych prowadzonego przy Banku Gospodarstwa Krajowego. Wsparcie to polega na objęciu akcji/udziałów lokalnych instytucji prowadzących fundusze </w:t>
      </w:r>
      <w:proofErr w:type="spellStart"/>
      <w:r>
        <w:rPr>
          <w:rFonts w:ascii="Times New Roman" w:hAnsi="Times New Roman" w:cs="Times New Roman"/>
          <w:color w:val="222937"/>
          <w:sz w:val="24"/>
          <w:szCs w:val="24"/>
          <w:lang w:eastAsia="pl-PL"/>
        </w:rPr>
        <w:t>poręczeniowe</w:t>
      </w:r>
      <w:proofErr w:type="spellEnd"/>
      <w:r>
        <w:rPr>
          <w:rFonts w:ascii="Times New Roman" w:hAnsi="Times New Roman" w:cs="Times New Roman"/>
          <w:color w:val="222937"/>
          <w:sz w:val="24"/>
          <w:szCs w:val="24"/>
          <w:lang w:eastAsia="pl-PL"/>
        </w:rPr>
        <w:t xml:space="preserve"> przez BGK i odbywa się w trybie konkursowym. Po przystąpieniu Polski do Unii Europejskiej wsparcie finansowe w celu dokapitalizowania funduszy poręczeń kredytowych pochodzi z Europejskiego Funduszu Rozwoju Regionalnego, a konkretnie                      z Sektorowego Programu Operacyjnego Wzrost Konkurencyjności Przedsiębiorstw, Działanie 1,2 </w:t>
      </w:r>
      <w:proofErr w:type="spellStart"/>
      <w:r>
        <w:rPr>
          <w:rFonts w:ascii="Times New Roman" w:hAnsi="Times New Roman" w:cs="Times New Roman"/>
          <w:color w:val="222937"/>
          <w:sz w:val="24"/>
          <w:szCs w:val="24"/>
          <w:lang w:eastAsia="pl-PL"/>
        </w:rPr>
        <w:t>poddziałanie</w:t>
      </w:r>
      <w:proofErr w:type="spellEnd"/>
      <w:r>
        <w:rPr>
          <w:rFonts w:ascii="Times New Roman" w:hAnsi="Times New Roman" w:cs="Times New Roman"/>
          <w:color w:val="222937"/>
          <w:sz w:val="24"/>
          <w:szCs w:val="24"/>
          <w:lang w:eastAsia="pl-PL"/>
        </w:rPr>
        <w:t xml:space="preserve"> 2: "Dokapitalizowanie funduszy </w:t>
      </w:r>
      <w:proofErr w:type="spellStart"/>
      <w:r>
        <w:rPr>
          <w:rFonts w:ascii="Times New Roman" w:hAnsi="Times New Roman" w:cs="Times New Roman"/>
          <w:color w:val="222937"/>
          <w:sz w:val="24"/>
          <w:szCs w:val="24"/>
          <w:lang w:eastAsia="pl-PL"/>
        </w:rPr>
        <w:t>poręczeniowych</w:t>
      </w:r>
      <w:proofErr w:type="spellEnd"/>
      <w:r>
        <w:rPr>
          <w:rFonts w:ascii="Times New Roman" w:hAnsi="Times New Roman" w:cs="Times New Roman"/>
          <w:color w:val="222937"/>
          <w:sz w:val="24"/>
          <w:szCs w:val="24"/>
          <w:lang w:eastAsia="pl-PL"/>
        </w:rPr>
        <w:t>". W ramach tego programu możliwe jest uzyskanie przez przedsiębiorców poręczeń lub gwarancji oprocentowanych nie niżej niż wg stopy referencyjnej określonej przez Komisję Europejską i w wysokości nie przekraczającej 80% zobowiązania, którego dotyczą. Fundusz w tym wypadku będzie zobowiązany do przeprowadzenia analizy ryzyka niespłacenia zaciągniętego przez przedsiębiorcę zobowiązania, za wynagrodzeniem uwzględniającym takie ryzyko. Atrakcyjnym źródłem finansowania funduszy poręczeń kredytowych może okazać się też kapitał prywatny pochodzący ze źródeł bankowych. Zachętą dla banków komercyjnych jest bowiem możliwość preferencyjnego traktowania przez fundusz kredytów udzielanych przez bank, co stanowi czynnik zwiększający popyt na środki finansowe banku, udostępniane                  w formie kredytów.</w:t>
      </w:r>
    </w:p>
    <w:p w:rsidR="00764AC4" w:rsidRDefault="00764AC4" w:rsidP="00764AC4">
      <w:pPr>
        <w:pStyle w:val="Nagwek1"/>
        <w:rPr>
          <w:rFonts w:cs="Times New Roman"/>
        </w:rPr>
      </w:pPr>
      <w:r>
        <w:rPr>
          <w:rFonts w:cs="Times New Roman"/>
        </w:rPr>
        <w:t>Fundusze Pożyczkowe</w:t>
      </w:r>
    </w:p>
    <w:p w:rsidR="00764AC4" w:rsidRDefault="00764AC4" w:rsidP="00764AC4">
      <w:pPr>
        <w:spacing w:after="0"/>
        <w:ind w:firstLine="708"/>
        <w:jc w:val="both"/>
        <w:rPr>
          <w:rFonts w:ascii="Times New Roman" w:hAnsi="Times New Roman" w:cs="Times New Roman"/>
          <w:color w:val="222937"/>
          <w:sz w:val="24"/>
          <w:szCs w:val="24"/>
          <w:lang w:eastAsia="pl-PL"/>
        </w:rPr>
      </w:pPr>
      <w:r>
        <w:rPr>
          <w:rFonts w:ascii="Times New Roman" w:hAnsi="Times New Roman" w:cs="Times New Roman"/>
          <w:color w:val="222937"/>
          <w:sz w:val="24"/>
          <w:szCs w:val="24"/>
          <w:lang w:eastAsia="pl-PL"/>
        </w:rPr>
        <w:t xml:space="preserve">Pod pojęciem funduszu pożyczkowego należy rozumieć instytucję nie będącą bankiem, której działalność koncentruje się na zapewnieniu dostępu do zewnętrznych źródeł kapitału poprzez udzielanie pożyczek. Poprzez umowę pożyczki fundusz zobowiązuje się przenieść na rzecz pożyczkobiorcy (np. przedsiębiorcy) określoną ilość pieniędzy. Ten ostatni zobowiązuje się do zwrotu tej samej ilości pieniędzy. W zamian za pożyczkę pożyczkobiorca zobowiązuje się do zapłaty na rzecz funduszu odsetek, przybierających formę oprocentowania. W rezultacie fundusz pożyczkowy uzyskuje środki na prowadzenie działalności, a pożyczkobiorca uzyskuje środki finansowe na realizację zamierzonych celów. Obok zaspokajania potrzeb finansowych swoich klientów, fundusze pożyczkowe świadczą szereg usług, takich jak pomoc swoim klientom w przygotowaniu wniosków pożyczkowych oraz biznes planów przedsięwzięcia. Oferują również pomoc doradczą przy zarządzaniu finansami w przedsiębiorstwie i prowadzą szkolenia w tej dziedzinie. Oferta funduszu pożyczkowego skierowana jest do przedsiębiorców (przede wszystkim mikro). Fundusze udzielają też pożyczek osobom bezrobotnym podejmującym działalność gospodarczą. Fundusze pożyczkowe w istotnym stopniu wpływają na rozwój sektora małych i średnich firm, pomagając w przezwyciężeniu problemów związanych z dostępem do zewnętrznych źródeł finansowania. Wynikiem ich działalności jest pobudzenie lokalnej przedsiębiorczości poprzez zwiększenie płynności finansowej przedsiębiorstw. Sprzyja to rozwojowi działalności gospodarczej i tworzeniu nowych miejsc pracy. Fundusze pożyczkowe mają bardzo zróżnicowany charakter, rozpoczynając od funduszy udzielających pożyczek o bardzo niskim </w:t>
      </w:r>
      <w:r>
        <w:rPr>
          <w:rFonts w:ascii="Times New Roman" w:hAnsi="Times New Roman" w:cs="Times New Roman"/>
          <w:color w:val="222937"/>
          <w:sz w:val="24"/>
          <w:szCs w:val="24"/>
          <w:lang w:eastAsia="pl-PL"/>
        </w:rPr>
        <w:lastRenderedPageBreak/>
        <w:t xml:space="preserve">oprocentowaniu, poprzez szereg instytucji oferujących różny stopień preferencyjności, aż po instytucje stricte komercyjne. Prowadzą one działalność wykorzystując rozmaite formy prawne. Najczęściej są to stowarzyszenia i fundacje. W dalszej części wymienić należy spółki akcyjne i spółki z ograniczoną odpowiedzialnością. Fundusze pożyczkowe mogą być prowadzone także przez gminę oraz samorząd gospodarczy. Najczęściej fundusze usytuowane są w przeróżnego rodzaju organizacjach pozarządowych i lokalnych instytucjach wspierania przedsiębiorczości. Obok działalności pożyczkowej prowadzą one również działania mające na celu rozwój przedsiębiorczości takie jak doradztwo czy szkolenia. Instytucje prowadzące fundusze pożyczkowe mogą mieć również charakter wyspecjalizowany. Przypadki prowadzenia przez fundusze działalności skoncentrowanej wyłącznie na udzielaniu pożyczek są jednak incydentalne. W obrębie funduszy pożyczkowych wyodrębnić można też tzw. fundusze </w:t>
      </w:r>
      <w:proofErr w:type="spellStart"/>
      <w:r>
        <w:rPr>
          <w:rFonts w:ascii="Times New Roman" w:hAnsi="Times New Roman" w:cs="Times New Roman"/>
          <w:color w:val="222937"/>
          <w:sz w:val="24"/>
          <w:szCs w:val="24"/>
          <w:lang w:eastAsia="pl-PL"/>
        </w:rPr>
        <w:t>mikropożyczkowe</w:t>
      </w:r>
      <w:proofErr w:type="spellEnd"/>
      <w:r>
        <w:rPr>
          <w:rFonts w:ascii="Times New Roman" w:hAnsi="Times New Roman" w:cs="Times New Roman"/>
          <w:color w:val="222937"/>
          <w:sz w:val="24"/>
          <w:szCs w:val="24"/>
          <w:lang w:eastAsia="pl-PL"/>
        </w:rPr>
        <w:t xml:space="preserve">. Instytucje te charakteryzuje uproszczony tryb przyznania pożyczki oparty na zindywidualizowanej, bardzo dokładnej analizie wiarygodności                           i rzetelności pożyczkobiorcy (w praktyce jest to rozmowa z doradcą), przy której analiza finansowa ma drugorzędne znaczenie lub jest pomijana. Drugie, istotne podejście to tzw. step </w:t>
      </w:r>
      <w:proofErr w:type="spellStart"/>
      <w:r>
        <w:rPr>
          <w:rFonts w:ascii="Times New Roman" w:hAnsi="Times New Roman" w:cs="Times New Roman"/>
          <w:color w:val="222937"/>
          <w:sz w:val="24"/>
          <w:szCs w:val="24"/>
          <w:lang w:eastAsia="pl-PL"/>
        </w:rPr>
        <w:t>lending</w:t>
      </w:r>
      <w:proofErr w:type="spellEnd"/>
      <w:r>
        <w:rPr>
          <w:rFonts w:ascii="Times New Roman" w:hAnsi="Times New Roman" w:cs="Times New Roman"/>
          <w:color w:val="222937"/>
          <w:sz w:val="24"/>
          <w:szCs w:val="24"/>
          <w:lang w:eastAsia="pl-PL"/>
        </w:rPr>
        <w:t xml:space="preserve">, polegające na tym, iż pierwsza pożyczka ma zawsze niewielką wartość. Kwota każdej kolejnej pożyczki jest sukcesywnie zwiększana (wraz ze wzrostem wiarygodności pożyczkobiorcy). Zaletą tego typu instytucji jest bliska współpraca z klientem i uproszczona do minimum dokumentacja (wniosek o pożyczkę ogranicza się z reguły do 1 strony). Klientami funduszy pożyczkowych są osoby znajdujące się w trudnej sytuacji (np. bezrobotni) oraz </w:t>
      </w:r>
      <w:proofErr w:type="spellStart"/>
      <w:r>
        <w:rPr>
          <w:rFonts w:ascii="Times New Roman" w:hAnsi="Times New Roman" w:cs="Times New Roman"/>
          <w:color w:val="222937"/>
          <w:sz w:val="24"/>
          <w:szCs w:val="24"/>
          <w:lang w:eastAsia="pl-PL"/>
        </w:rPr>
        <w:t>mikroprzedsiębiorstwa</w:t>
      </w:r>
      <w:proofErr w:type="spellEnd"/>
      <w:r>
        <w:rPr>
          <w:rFonts w:ascii="Times New Roman" w:hAnsi="Times New Roman" w:cs="Times New Roman"/>
          <w:color w:val="222937"/>
          <w:sz w:val="24"/>
          <w:szCs w:val="24"/>
          <w:lang w:eastAsia="pl-PL"/>
        </w:rPr>
        <w:t xml:space="preserve"> mające trudności w uzyskaniu kredytu. Stąd też fundusze pożyczkowe stosują nietypowe formy zabezpieczenia, polegające m.in. na tworzeniu tzw. grup pożyczkowych, gdzie poszczególne osoby zaciągające pożyczkę poręczają sobie nawzajem. Podobnie jak w przypadku funduszy poręczeń kredytowych, zakres terytorialny działania lokalnych funduszy pożyczkowych ograniczony jest do jednej lub kilku gmin lub powiatu. Również i w tym przypadku, działalność zdeterminowana jest wielkością posiadanego kapitału. Podstawowym źródłem finansowania funduszy pożyczkowych jest kapitał wniesiony przez założycieli oraz dochody z bieżącej działalności. Dokapitalizowanie tego typu instytucji w postaci dotacji na powiększenie funduszu prowadzone jest corocznie przez Polską Agencję Rozwoju Przedsiębiorczości. Po przystąpieniu Polski do Unii Europejskiej fundusze pożyczkowe mogą aplikować o wsparcie pochodzące z Europejskiego Funduszu Rozwoju Regionalnego, a konkretnie z Sektorowego Programu Operacyjnego Wzrost Konkurencyjności Przedsiębiorstw, Działanie 1,2 </w:t>
      </w:r>
      <w:proofErr w:type="spellStart"/>
      <w:r>
        <w:rPr>
          <w:rFonts w:ascii="Times New Roman" w:hAnsi="Times New Roman" w:cs="Times New Roman"/>
          <w:color w:val="222937"/>
          <w:sz w:val="24"/>
          <w:szCs w:val="24"/>
          <w:lang w:eastAsia="pl-PL"/>
        </w:rPr>
        <w:t>poddziałanie</w:t>
      </w:r>
      <w:proofErr w:type="spellEnd"/>
      <w:r>
        <w:rPr>
          <w:rFonts w:ascii="Times New Roman" w:hAnsi="Times New Roman" w:cs="Times New Roman"/>
          <w:color w:val="222937"/>
          <w:sz w:val="24"/>
          <w:szCs w:val="24"/>
          <w:lang w:eastAsia="pl-PL"/>
        </w:rPr>
        <w:t xml:space="preserve"> 1: "Dokapitalizowanie funduszy pożyczkowych". W ramach tego projektu przedsiębiorstwa mogą uzyskać pożyczki oprocentowane nie niżej niż stopa referencyjna określona przez Komisję Europejską. Fundusz pożyczkowy będzie w tym wypadku zobowiązany do przeprowadzenia analizy ryzyka niespłacenia przez przedsiębiorcę pożyczki i ustalenia należytego zabezpieczenia spłaty. Pożyczki nie mogą być udzielane firmom znajdującym się w trudnej sytuacji, w rozumieniu przepisów Wytycznych Wspólnoty dotyczących pomocy publicznej w celu ratowania i restrukturyzacji przedsiębiorstw w trudnej sytuacji (Dz. Urz. WE C 288 z dnia 09.10.1999 r.). Ponadto jako instytucje otoczenia biznesu będą one mogły ubiegać się o środki unijne przeznaczone na poprawę oferty oraz realizację projektów inwestycyjnych, niezbędnych z punktu widzenia poprawy warunków prowadzenia działalności. Inaczej także przedstawia się kwestia zaangażowania kapitałów prywatnych, </w:t>
      </w:r>
      <w:r>
        <w:rPr>
          <w:rFonts w:ascii="Times New Roman" w:hAnsi="Times New Roman" w:cs="Times New Roman"/>
          <w:color w:val="222937"/>
          <w:sz w:val="24"/>
          <w:szCs w:val="24"/>
          <w:lang w:eastAsia="pl-PL"/>
        </w:rPr>
        <w:lastRenderedPageBreak/>
        <w:t>szczególnie banków. Ze względu na konkurencyjny w stosunku do banków komercyjnych profil działalności, ich zainteresowanie inwestycjami w fundusze pożyczkowe jest raczej znikome.</w:t>
      </w:r>
    </w:p>
    <w:p w:rsidR="00764AC4" w:rsidRDefault="00764AC4" w:rsidP="00764AC4">
      <w:pPr>
        <w:pStyle w:val="Nagwek1"/>
        <w:rPr>
          <w:rFonts w:cs="Times New Roman"/>
        </w:rPr>
      </w:pPr>
      <w:r>
        <w:rPr>
          <w:rFonts w:cs="Times New Roman"/>
        </w:rPr>
        <w:t>Inkubatory Przedsiębiorczości</w:t>
      </w:r>
    </w:p>
    <w:p w:rsidR="00764AC4" w:rsidRDefault="00764AC4" w:rsidP="00764AC4">
      <w:pPr>
        <w:spacing w:after="0"/>
        <w:ind w:firstLine="708"/>
        <w:jc w:val="both"/>
        <w:rPr>
          <w:rFonts w:ascii="Times New Roman" w:hAnsi="Times New Roman" w:cs="Times New Roman"/>
          <w:color w:val="222937"/>
          <w:sz w:val="24"/>
          <w:szCs w:val="24"/>
          <w:lang w:eastAsia="pl-PL"/>
        </w:rPr>
      </w:pPr>
      <w:r>
        <w:rPr>
          <w:rFonts w:ascii="Times New Roman" w:hAnsi="Times New Roman" w:cs="Times New Roman"/>
          <w:color w:val="222937"/>
          <w:sz w:val="24"/>
          <w:szCs w:val="24"/>
          <w:lang w:eastAsia="pl-PL"/>
        </w:rPr>
        <w:t>Inkubator przedsiębiorczości stanowią wyodrębnione w ramach jednego budynku                             i udostępnione przedsiębiorcom na preferencyjnych warunkach lokale wraz z pełną obsługą administracyjną (sekretariat) i biurową (sprzęt biurowy), w których mogą oni prowadzić działalność gospodarczą w początkowym okresie swej działalności. Preferencyjne warunki wyrażają się w niższych od rynkowych cenach najmu lokali i kosztach obsługi. Ponieważ celem inkubatora jest wsparcie przedsiębiorców w początkowym okresie ich funkcjonowania (ok. 3 lata od chwili powstania), wraz z upływem czasu przewidzianego do wyjścia firm                   z inkubatora ceny najmu zbliżają się do cen rynkowych. W ramach swych zadań inkubatory świadczą na rzecz przedsiębiorców szereg usług dodatkowych takich jak szkolenia, doradztwo, obsługa prawna, a także zapewniają przedsiębiorcom dostęp do informacji oraz ułatwiają dostęp do zewnętrznych źródeł finansowania. Inkubatory przedsiębiorczości są formą promocji i wspomagania małych, nowo powstałych przedsiębiorstw. Ich najważniejszą misją jest stworzenie środowiska sprzyjającego transferowi technologii, wymianie doświadczeń i budowaniu więzi pomiędzy przedsiębiorstwami. Utworzenie inkubatora przedsiębiorczości sprzyja małym przedsiębiorstwom w przezwyciężaniu podstawowych barier rozwojowych oraz pozytywnie wpływa na lokalną przedsiębiorczość, przede wszystkim zaś na powstawanie nowych firm i kreowanie nowych miejsc pracy. Partnerami samorządów w utworzeniu i prowadzeniu inkubatorów są z reguły lokalne instytucje otoczenia biznesu. Inkubatory przedsiębiorczości mogą działać jako samodzielny podmiot (osoba prawna) lub stanowię wyodrębnioną organizacyjnie jednostkę prowadzoną w ramach istniejącej instytucji. Forma prawna inkubatora nie została określona. Najczęściej działają one w postaci fundacji i stowarzyszeń, ale mogą prowadzić swoją działalność w postaci spółki akcyjnej, spółki z ograniczoną odpowiedzialnością, a także zakładu budżetowego miasta lub gminy. Struktura organizacyjna i szczegóły dotyczące prowadzonej działalności powinny zostać określone w statucie (umowie spółki) oraz wewnętrznych regulaminach.</w:t>
      </w:r>
      <w:r>
        <w:rPr>
          <w:rFonts w:ascii="Times New Roman" w:hAnsi="Times New Roman" w:cs="Times New Roman"/>
          <w:color w:val="222937"/>
          <w:sz w:val="24"/>
          <w:szCs w:val="24"/>
          <w:lang w:eastAsia="pl-PL"/>
        </w:rPr>
        <w:br/>
        <w:t xml:space="preserve">Możliwości pozyskania zewnętrznego finansowania przez instytucje wspierania przedsiębiorczości powiększyły się znacznie po przystąpieniu Polski do Unii Europejskiej. Na lata 2004-2006 zostały przeznaczone środki z Europejskiego Funduszu Rozwoju Regionalnego na sfinansowanie części kosztów przygotowania studiów wykonalności oraz biznes planów dla inkubatorów przedsiębiorczości. Realizowane jest także wsparcie finansowe części inwestycji związanych z utworzeniem i funkcjonowaniem inkubatora. Nie mniej istotna jest możliwość ubiegania się o pokrycie części kosztów usług doradczych dla instytucji zarządzających inkubatorami. Więcej informacji, wraz z danymi teleadresowymi inkubatorów przedsiębiorczości, dostępnych jest na stronie internetowej: </w:t>
      </w:r>
      <w:hyperlink r:id="rId9" w:history="1">
        <w:r>
          <w:rPr>
            <w:rFonts w:ascii="Times New Roman" w:hAnsi="Times New Roman" w:cs="Times New Roman"/>
            <w:color w:val="000080"/>
            <w:sz w:val="24"/>
            <w:szCs w:val="24"/>
            <w:lang w:eastAsia="pl-PL"/>
          </w:rPr>
          <w:t>www.inkubatory.pl</w:t>
        </w:r>
      </w:hyperlink>
    </w:p>
    <w:p w:rsidR="00764AC4" w:rsidRDefault="00764AC4" w:rsidP="00764AC4">
      <w:pPr>
        <w:pStyle w:val="Nagwek3"/>
        <w:rPr>
          <w:color w:val="auto"/>
          <w:sz w:val="24"/>
          <w:szCs w:val="24"/>
        </w:rPr>
      </w:pPr>
    </w:p>
    <w:p w:rsidR="00764AC4" w:rsidRDefault="00764AC4" w:rsidP="00764AC4">
      <w:pPr>
        <w:pStyle w:val="Nagwek1"/>
        <w:rPr>
          <w:rFonts w:ascii="Tahoma" w:hAnsi="Tahoma" w:cs="Tahoma"/>
          <w:b w:val="0"/>
          <w:bCs w:val="0"/>
          <w:color w:val="005CBE"/>
        </w:rPr>
      </w:pPr>
      <w:r>
        <w:rPr>
          <w:rFonts w:cs="Times New Roman"/>
        </w:rPr>
        <w:lastRenderedPageBreak/>
        <w:t>Gminne Centra Informacji</w:t>
      </w:r>
    </w:p>
    <w:p w:rsidR="00764AC4" w:rsidRDefault="00764AC4" w:rsidP="00764AC4">
      <w:pPr>
        <w:pStyle w:val="NormalnyWeb"/>
        <w:spacing w:line="276" w:lineRule="auto"/>
        <w:ind w:firstLine="709"/>
        <w:jc w:val="both"/>
        <w:rPr>
          <w:rFonts w:ascii="Times New Roman" w:hAnsi="Times New Roman" w:cs="Times New Roman"/>
        </w:rPr>
      </w:pPr>
      <w:r>
        <w:rPr>
          <w:rFonts w:ascii="Times New Roman" w:hAnsi="Times New Roman" w:cs="Times New Roman"/>
        </w:rPr>
        <w:t xml:space="preserve">Na Gminne Centrum Informacyjne (GCI) składa się pomieszczenie wyposażone                               w stanowiska komputerowe z dostępem do Internetu oraz niezbędny sprzęt biurowy (telefon, faks, kserokopiarka) wraz z profesjonalną obsługą biurową. Celem GCI jest zaspokajanie potrzeb mieszkańców gminy w zakresie komunikacji, poszukiwania pracy, prowadzenia działalności gospodarczej przez małe firmy oraz dostępu do informacji. GCI przyczynia się też do promocji turystycznej i gospodarczej gminy. Pośród usług świadczonych przez GCI wymienić można udostępnianie informacji znajdujących się w Internecie (oferty pracy, poszukiwanie partnerów gospodarczych, oferty edukacyjne, informacja dla turystów), tworzenie stron WWW dla firm i instytucji, prowadzenie strony internetowej promującej gminę, usługi biurowe. GCI udostępnia też sprzęt komputerowy w celach przeglądania stron </w:t>
      </w:r>
      <w:proofErr w:type="spellStart"/>
      <w:r>
        <w:rPr>
          <w:rFonts w:ascii="Times New Roman" w:hAnsi="Times New Roman" w:cs="Times New Roman"/>
        </w:rPr>
        <w:t>www</w:t>
      </w:r>
      <w:proofErr w:type="spellEnd"/>
      <w:r>
        <w:rPr>
          <w:rFonts w:ascii="Times New Roman" w:hAnsi="Times New Roman" w:cs="Times New Roman"/>
        </w:rPr>
        <w:t xml:space="preserve"> oraz korzystania z poczty elektronicznej, działając na zasadach tzw. kawiarenki internetowej. GCI może zostać utworzone w gminnym ośrodku kultury, szkole czy bibliotece. Może ono być prowadzone przez agencję rozwoju lokalnego lub działać w ramach inkubatora przedsiębiorczości.</w:t>
      </w:r>
    </w:p>
    <w:p w:rsidR="00764AC4" w:rsidRDefault="00764AC4" w:rsidP="00764AC4">
      <w:pPr>
        <w:pStyle w:val="NormalnyWeb"/>
        <w:spacing w:line="276" w:lineRule="auto"/>
        <w:jc w:val="both"/>
      </w:pPr>
      <w:r>
        <w:rPr>
          <w:rFonts w:ascii="Times New Roman" w:hAnsi="Times New Roman" w:cs="Times New Roman"/>
        </w:rPr>
        <w:t xml:space="preserve">Do zakresu zadań </w:t>
      </w:r>
      <w:proofErr w:type="spellStart"/>
      <w:r>
        <w:rPr>
          <w:rFonts w:ascii="Times New Roman" w:hAnsi="Times New Roman" w:cs="Times New Roman"/>
        </w:rPr>
        <w:t>infocentrum</w:t>
      </w:r>
      <w:proofErr w:type="spellEnd"/>
      <w:r>
        <w:rPr>
          <w:rFonts w:ascii="Times New Roman" w:hAnsi="Times New Roman" w:cs="Times New Roman"/>
        </w:rPr>
        <w:t xml:space="preserve"> należy m.in. świadczenie drobnych usług biurowych (przepisywanie, kopiowanie, skanowanie dokumentów i prac szkolnych, pisanie życiorysów, wysyłanie faksów, wykonywanie wizytówek), kojarzenie partnerów (zamieszczanie drobnych ogłoszeń kupię/sprzedam na własnej stronie internetowej, prowadzenie tablicy ogłoszeń), usługi szkoleniowe (kursy komputerowe), pośrednictwo pracy (prowadzenie strony internetowej z ofertami pracy), a ponadto prowadzenie kawiarenki internetowej, wyszukiwanie zleceń i informacji w </w:t>
      </w:r>
      <w:proofErr w:type="spellStart"/>
      <w:r>
        <w:rPr>
          <w:rFonts w:ascii="Times New Roman" w:hAnsi="Times New Roman" w:cs="Times New Roman"/>
        </w:rPr>
        <w:t>internecie</w:t>
      </w:r>
      <w:proofErr w:type="spellEnd"/>
      <w:r>
        <w:rPr>
          <w:rFonts w:ascii="Times New Roman" w:hAnsi="Times New Roman" w:cs="Times New Roman"/>
        </w:rPr>
        <w:t xml:space="preserve">. Pracownicy centrum prowadzą również usługi doradcze na temat prowadzenia działalności gospodarczej. Gminne </w:t>
      </w:r>
      <w:proofErr w:type="spellStart"/>
      <w:r>
        <w:rPr>
          <w:rFonts w:ascii="Times New Roman" w:hAnsi="Times New Roman" w:cs="Times New Roman"/>
        </w:rPr>
        <w:t>Infocentrum</w:t>
      </w:r>
      <w:proofErr w:type="spellEnd"/>
      <w:r>
        <w:rPr>
          <w:rFonts w:ascii="Times New Roman" w:hAnsi="Times New Roman" w:cs="Times New Roman"/>
        </w:rPr>
        <w:t xml:space="preserve"> zamieszcza również reklamy przedsiębiorców, którzy chcą ze swoimi produktami wyjść poza rynek lokalny. Zajmuje się też tworzeniem stron internetowych. Beneficjentem usług świadczonych przez </w:t>
      </w:r>
      <w:proofErr w:type="spellStart"/>
      <w:r>
        <w:rPr>
          <w:rFonts w:ascii="Times New Roman" w:hAnsi="Times New Roman" w:cs="Times New Roman"/>
        </w:rPr>
        <w:t>infocentrum</w:t>
      </w:r>
      <w:proofErr w:type="spellEnd"/>
      <w:r>
        <w:rPr>
          <w:rFonts w:ascii="Times New Roman" w:hAnsi="Times New Roman" w:cs="Times New Roman"/>
        </w:rPr>
        <w:t xml:space="preserve"> jest społeczność lokalna (młodzież, poszukujący pracy, lokalni przedsiębiorcy) z terenów Szydłowca i sąsiednich gmin. GCI finansowane jest ze środków własnych przy wsparciu pochodzącym ze środków gminnych (głównie w początkowym okresie funkcjonowania). Docelowo instytucja ta powinna być w stanie zapewnię swoje samofinansowanie. W pierwszych latach po akcesji do Unii Europejskiej, instytucje otoczenia biznesu mogą liczyć na wsparcie z Europejskiego Funduszu Rozwoju Regionalnego,                      z którego finansowane będą m.in. projekty doradcze i szkoleniowe poprawiające ofertę tego typu instytucji. Dodatkowo, wsparcie przewidziane będzie na realizację projektów inwestycyjnych niezbędnych do właściwego funkcjonowania instytucji wspierających przedsiębiorców. Środki finansowe z Europejskiego Funduszu Rozwoju Regionalnego skierowane będą również do jednostek samorządu terytorialnego i podległych im placówek publicznych zapewniających dostęp do Internetu w miejscach publicznych. </w:t>
      </w:r>
      <w:bookmarkStart w:id="0" w:name="age"/>
      <w:bookmarkEnd w:id="0"/>
      <w:r>
        <w:rPr>
          <w:rFonts w:ascii="Times New Roman" w:hAnsi="Times New Roman" w:cs="Times New Roman"/>
        </w:rPr>
        <w:br/>
      </w:r>
    </w:p>
    <w:p w:rsidR="00764AC4" w:rsidRDefault="00764AC4" w:rsidP="00764AC4">
      <w:pPr>
        <w:pStyle w:val="NormalnyWeb"/>
        <w:jc w:val="both"/>
        <w:rPr>
          <w:rFonts w:ascii="Times New Roman" w:hAnsi="Times New Roman" w:cs="Times New Roman"/>
          <w:b/>
          <w:bCs/>
        </w:rPr>
      </w:pPr>
      <w:r>
        <w:rPr>
          <w:rFonts w:ascii="Times New Roman" w:hAnsi="Times New Roman" w:cs="Times New Roman"/>
          <w:b/>
          <w:bCs/>
        </w:rPr>
        <w:t>Agencja Rozwoju Lokalnego</w:t>
      </w:r>
    </w:p>
    <w:p w:rsidR="00764AC4" w:rsidRDefault="00764AC4" w:rsidP="00764AC4">
      <w:pPr>
        <w:pStyle w:val="NormalnyWeb"/>
        <w:spacing w:line="276" w:lineRule="auto"/>
        <w:ind w:firstLine="709"/>
        <w:jc w:val="both"/>
        <w:rPr>
          <w:rFonts w:ascii="Times New Roman" w:hAnsi="Times New Roman" w:cs="Times New Roman"/>
        </w:rPr>
      </w:pPr>
      <w:r>
        <w:rPr>
          <w:rFonts w:ascii="Times New Roman" w:hAnsi="Times New Roman" w:cs="Times New Roman"/>
        </w:rPr>
        <w:lastRenderedPageBreak/>
        <w:t>Agencja Rozwoju Lokalnego jest instytucją zmierzającą do zapewnienia harmonijnego rozwoju gospodarczego gminy (powiatu), której działalność koncentruje się głównie na wspieraniu lokalnej przedsiębiorczości. Agencja stanowi ogniwo zapewniające sprawną komunikację i wymianę informacji pomiędzy lokalnymi przedsiębiorcami a instytucjami rozwoju przedsiębiorczości o charakterze regionalnym czy też krajowym. Agencja rozwoju lokalnego może współtworzyć i wdrażać lokalne programy restrukturyzacyjne oraz programy rozwoju gospodarki pobudzające przedsiębiorczość, organizować i popierać inicjatywy prowadzące do poprawy sytuacji na lokalnym rynku pracy, a także zajmować się promocją gminy (powiatu). W ramach wykonywanych zadań, agencje mogą prowadzić fundusze pożyczkowe, fundusze poręczeń kredytowych, inkubatory przedsiębiorczości. Dobrą praktyką jest również prowadzenie ośrodka informacyjnego dla małych przedsiębiorców w zakresie dostępnych w regionie instrumentów wsparcia. Agencje zajmują się przyciąganiem potencjalnych inwestorów, organizują giełdy, wystawy, targi pracy oraz szkolenia i seminaria prowadzone przez zewnętrznych ekspertów. Zapewniają one przedsiębiorcom obsługę prawną i księgową, a także gromadzą oferty pracy. Agencje rozwoju lokalnego pełnią bardzo istotną rolę w procesie planowania i realizacji rozwoju lokalnego. Ich zadania wykraczają znacznie poza stymulowanie inicjatyw mających na celu wspieranie przedsiębiorczości i rozwój gospodarczy. Pełnią one również szereg zadań o charakterze społecznym. Realizując bowiem swe zadania poprzez ścisłą współpracę z władzami gminy (powiatu), lokalnymi przedsiębiorcami i mieszkańcami, inspirują współpracę partnerów społecznych. Na uwagę zasługują też działania na rzecz promocji regionu. Agencje rozwoju lokalnego mogą działać w oparciu o przepisy kodeksu spółek handlowych. Występują wówczas pod postacią spółki akcyjnej i spółki z ograniczoną odpowiedzialnością, co umożliwia im nieskrępowane prowadzenie działalności gospodarczej. Formy te są więc właściwe w przypadku agencji prowadzących działalność komercyjną. Agencje rozwoju lokalnego o charakterze non profit realizują swe działania głównie w formie fundacji lub stowarzyszenia. Należy zaznaczyć, że prawodawstwo nie wyklucza możliwości prowadzenia działalności gospodarczej przez podmioty działające w tych formach. Jest to jednak obwarowane pewnymi warunkami. Zakres terytorialny agencji rozwoju lokalnego ogranicza się do gminy, kilku gmin lub powiatu. Adresatami jej działań są mieszkańcy oraz podmioty prawne (głównie małe przedsiębiorstwa) z tego obszaru. Podstawowymi źródłami finansowania działalności agencji, obok przychodów z działalności gospodarczej mogą być środki finansowe pochodzące                   z budżetu gminy (powiatu), pozyskane od prywatnych przedsiębiorców oraz innych podmiotów lokalnych. Źródłem finansowania agencji może stać się także powierzony jej majątek, spadki i darowizny. W latach 2004 - 2006 wsparcie w ramach Europejskiego Funduszu Rozwoju Regionalnego przeznaczone zostanie głównie na projekty doradcze                   i szkoleniowe poprawiające ofertę instytucji otoczenia biznesu. Agencje rozwoju lokalnego uzyskają też możliwość sfinansowania z Europejskiego Funduszu Rozwoju Regionalnego części kosztów projektów inwestycyjnych związanych z prowadzoną działalnością.</w:t>
      </w:r>
    </w:p>
    <w:p w:rsidR="00764AC4" w:rsidRDefault="00764AC4" w:rsidP="00764AC4">
      <w:pPr>
        <w:rPr>
          <w:rFonts w:ascii="Times New Roman" w:hAnsi="Times New Roman" w:cs="Times New Roman"/>
        </w:rPr>
      </w:pPr>
      <w:bookmarkStart w:id="1" w:name="tech"/>
      <w:bookmarkEnd w:id="1"/>
    </w:p>
    <w:p w:rsidR="00764AC4" w:rsidRPr="000F39C1" w:rsidRDefault="00764AC4">
      <w:pPr>
        <w:rPr>
          <w:rFonts w:ascii="Times New Roman" w:hAnsi="Times New Roman" w:cs="Times New Roman"/>
          <w:sz w:val="24"/>
          <w:szCs w:val="24"/>
        </w:rPr>
      </w:pPr>
      <w:r w:rsidRPr="000F39C1">
        <w:rPr>
          <w:rFonts w:ascii="Times New Roman" w:hAnsi="Times New Roman" w:cs="Times New Roman"/>
          <w:sz w:val="24"/>
          <w:szCs w:val="24"/>
        </w:rPr>
        <w:t>Źródło:  Zasoby internetowe</w:t>
      </w:r>
    </w:p>
    <w:sectPr w:rsidR="00764AC4" w:rsidRPr="000F39C1" w:rsidSect="00253F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64AC4"/>
    <w:rsid w:val="000F39C1"/>
    <w:rsid w:val="00240F9A"/>
    <w:rsid w:val="00253F16"/>
    <w:rsid w:val="003C4DA2"/>
    <w:rsid w:val="00557D9D"/>
    <w:rsid w:val="00764AC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3F16"/>
  </w:style>
  <w:style w:type="paragraph" w:styleId="Nagwek1">
    <w:name w:val="heading 1"/>
    <w:basedOn w:val="Normalny"/>
    <w:next w:val="Normalny"/>
    <w:link w:val="Nagwek1Znak"/>
    <w:uiPriority w:val="99"/>
    <w:qFormat/>
    <w:rsid w:val="00764AC4"/>
    <w:pPr>
      <w:keepNext/>
      <w:spacing w:before="100" w:beforeAutospacing="1" w:after="100" w:afterAutospacing="1" w:line="360" w:lineRule="auto"/>
      <w:outlineLvl w:val="0"/>
    </w:pPr>
    <w:rPr>
      <w:rFonts w:ascii="Times New Roman" w:eastAsiaTheme="minorEastAsia" w:hAnsi="Times New Roman"/>
      <w:b/>
      <w:bCs/>
      <w:sz w:val="24"/>
      <w:szCs w:val="24"/>
      <w:lang w:eastAsia="pl-PL"/>
    </w:rPr>
  </w:style>
  <w:style w:type="paragraph" w:styleId="Nagwek3">
    <w:name w:val="heading 3"/>
    <w:basedOn w:val="Normalny"/>
    <w:link w:val="Nagwek3Znak"/>
    <w:uiPriority w:val="99"/>
    <w:qFormat/>
    <w:rsid w:val="00764AC4"/>
    <w:pPr>
      <w:spacing w:before="100" w:beforeAutospacing="1" w:after="100" w:afterAutospacing="1" w:line="360" w:lineRule="auto"/>
      <w:outlineLvl w:val="2"/>
    </w:pPr>
    <w:rPr>
      <w:rFonts w:ascii="Times New Roman" w:eastAsiaTheme="minorEastAsia" w:hAnsi="Times New Roman" w:cs="Times New Roman"/>
      <w:b/>
      <w:bCs/>
      <w:color w:val="005CBE"/>
      <w:sz w:val="27"/>
      <w:szCs w:val="27"/>
      <w:lang w:eastAsia="pl-PL"/>
    </w:rPr>
  </w:style>
  <w:style w:type="paragraph" w:styleId="Nagwek5">
    <w:name w:val="heading 5"/>
    <w:basedOn w:val="Normalny"/>
    <w:next w:val="Normalny"/>
    <w:link w:val="Nagwek5Znak"/>
    <w:uiPriority w:val="99"/>
    <w:qFormat/>
    <w:rsid w:val="00764AC4"/>
    <w:pPr>
      <w:keepNext/>
      <w:spacing w:after="0"/>
      <w:jc w:val="both"/>
      <w:outlineLvl w:val="4"/>
    </w:pPr>
    <w:rPr>
      <w:rFonts w:ascii="Times New Roman" w:eastAsiaTheme="minorEastAsia" w:hAnsi="Times New Roman" w:cs="Times New Roman"/>
      <w:color w:val="222937"/>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64AC4"/>
    <w:rPr>
      <w:color w:val="0000FF" w:themeColor="hyperlink"/>
      <w:u w:val="single"/>
    </w:rPr>
  </w:style>
  <w:style w:type="character" w:customStyle="1" w:styleId="Nagwek1Znak">
    <w:name w:val="Nagłówek 1 Znak"/>
    <w:basedOn w:val="Domylnaczcionkaakapitu"/>
    <w:link w:val="Nagwek1"/>
    <w:uiPriority w:val="99"/>
    <w:rsid w:val="00764AC4"/>
    <w:rPr>
      <w:rFonts w:ascii="Times New Roman" w:eastAsiaTheme="minorEastAsia" w:hAnsi="Times New Roman"/>
      <w:b/>
      <w:bCs/>
      <w:sz w:val="24"/>
      <w:szCs w:val="24"/>
      <w:lang w:eastAsia="pl-PL"/>
    </w:rPr>
  </w:style>
  <w:style w:type="character" w:customStyle="1" w:styleId="Nagwek3Znak">
    <w:name w:val="Nagłówek 3 Znak"/>
    <w:basedOn w:val="Domylnaczcionkaakapitu"/>
    <w:link w:val="Nagwek3"/>
    <w:uiPriority w:val="99"/>
    <w:rsid w:val="00764AC4"/>
    <w:rPr>
      <w:rFonts w:ascii="Times New Roman" w:eastAsiaTheme="minorEastAsia" w:hAnsi="Times New Roman" w:cs="Times New Roman"/>
      <w:b/>
      <w:bCs/>
      <w:color w:val="005CBE"/>
      <w:sz w:val="27"/>
      <w:szCs w:val="27"/>
      <w:lang w:eastAsia="pl-PL"/>
    </w:rPr>
  </w:style>
  <w:style w:type="character" w:customStyle="1" w:styleId="Nagwek5Znak">
    <w:name w:val="Nagłówek 5 Znak"/>
    <w:basedOn w:val="Domylnaczcionkaakapitu"/>
    <w:link w:val="Nagwek5"/>
    <w:uiPriority w:val="99"/>
    <w:rsid w:val="00764AC4"/>
    <w:rPr>
      <w:rFonts w:ascii="Times New Roman" w:eastAsiaTheme="minorEastAsia" w:hAnsi="Times New Roman" w:cs="Times New Roman"/>
      <w:color w:val="222937"/>
      <w:sz w:val="24"/>
      <w:szCs w:val="24"/>
      <w:u w:val="single"/>
      <w:lang w:eastAsia="pl-PL"/>
    </w:rPr>
  </w:style>
  <w:style w:type="paragraph" w:styleId="NormalnyWeb">
    <w:name w:val="Normal (Web)"/>
    <w:basedOn w:val="Normalny"/>
    <w:uiPriority w:val="99"/>
    <w:rsid w:val="00764AC4"/>
    <w:pPr>
      <w:spacing w:before="100" w:beforeAutospacing="1" w:after="100" w:afterAutospacing="1" w:line="240" w:lineRule="auto"/>
    </w:pPr>
    <w:rPr>
      <w:rFonts w:ascii="Arial" w:eastAsiaTheme="minorEastAsia" w:hAnsi="Arial" w:cs="Arial"/>
      <w:sz w:val="24"/>
      <w:szCs w:val="24"/>
      <w:lang w:eastAsia="pl-PL"/>
    </w:rPr>
  </w:style>
  <w:style w:type="paragraph" w:styleId="Tekstpodstawowy">
    <w:name w:val="Body Text"/>
    <w:basedOn w:val="Normalny"/>
    <w:link w:val="TekstpodstawowyZnak"/>
    <w:uiPriority w:val="99"/>
    <w:rsid w:val="00764AC4"/>
    <w:pPr>
      <w:spacing w:after="0"/>
    </w:pPr>
    <w:rPr>
      <w:rFonts w:ascii="Times New Roman" w:eastAsiaTheme="minorEastAsia" w:hAnsi="Times New Roman" w:cs="Times New Roman"/>
      <w:b/>
      <w:bCs/>
      <w:color w:val="222937"/>
      <w:sz w:val="28"/>
      <w:szCs w:val="28"/>
      <w:lang w:eastAsia="pl-PL"/>
    </w:rPr>
  </w:style>
  <w:style w:type="character" w:customStyle="1" w:styleId="TekstpodstawowyZnak">
    <w:name w:val="Tekst podstawowy Znak"/>
    <w:basedOn w:val="Domylnaczcionkaakapitu"/>
    <w:link w:val="Tekstpodstawowy"/>
    <w:uiPriority w:val="99"/>
    <w:rsid w:val="00764AC4"/>
    <w:rPr>
      <w:rFonts w:ascii="Times New Roman" w:eastAsiaTheme="minorEastAsia" w:hAnsi="Times New Roman" w:cs="Times New Roman"/>
      <w:b/>
      <w:bCs/>
      <w:color w:val="222937"/>
      <w:sz w:val="28"/>
      <w:szCs w:val="28"/>
      <w:lang w:eastAsia="pl-PL"/>
    </w:rPr>
  </w:style>
  <w:style w:type="paragraph" w:styleId="Tekstpodstawowy2">
    <w:name w:val="Body Text 2"/>
    <w:basedOn w:val="Normalny"/>
    <w:link w:val="Tekstpodstawowy2Znak"/>
    <w:uiPriority w:val="99"/>
    <w:rsid w:val="00764AC4"/>
    <w:pPr>
      <w:spacing w:before="100" w:beforeAutospacing="1" w:after="100" w:afterAutospacing="1" w:line="360" w:lineRule="auto"/>
      <w:ind w:firstLine="708"/>
      <w:jc w:val="both"/>
      <w:outlineLvl w:val="3"/>
    </w:pPr>
    <w:rPr>
      <w:rFonts w:ascii="Times New Roman" w:eastAsiaTheme="minorEastAsia" w:hAnsi="Times New Roman" w:cs="Times New Roman"/>
      <w:sz w:val="24"/>
      <w:szCs w:val="24"/>
    </w:rPr>
  </w:style>
  <w:style w:type="character" w:customStyle="1" w:styleId="Tekstpodstawowy2Znak">
    <w:name w:val="Tekst podstawowy 2 Znak"/>
    <w:basedOn w:val="Domylnaczcionkaakapitu"/>
    <w:link w:val="Tekstpodstawowy2"/>
    <w:uiPriority w:val="99"/>
    <w:rsid w:val="00764AC4"/>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u.parp.gov.pl/lista.html" TargetMode="External"/><Relationship Id="rId3" Type="http://schemas.openxmlformats.org/officeDocument/2006/relationships/webSettings" Target="webSettings.xml"/><Relationship Id="rId7" Type="http://schemas.openxmlformats.org/officeDocument/2006/relationships/hyperlink" Target="http://www.fund.org.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zbarimp@fund.org.pl" TargetMode="External"/><Relationship Id="rId11" Type="http://schemas.openxmlformats.org/officeDocument/2006/relationships/theme" Target="theme/theme1.xml"/><Relationship Id="rId5" Type="http://schemas.openxmlformats.org/officeDocument/2006/relationships/hyperlink" Target="http://www.mg.gov.pl/Wspieranie+przedsiebiorczosci/Dzialalnosc+gospodarcza+i+e-przedsiebiorczosc/Centralna+Ewidencja+i+Informacja+o+Dzialalnosci+Gospodarczej+CEIDG" TargetMode="External"/><Relationship Id="rId10" Type="http://schemas.openxmlformats.org/officeDocument/2006/relationships/fontTable" Target="fontTable.xml"/><Relationship Id="rId4" Type="http://schemas.openxmlformats.org/officeDocument/2006/relationships/hyperlink" Target="https://prod.ceidg.gov.pl/ceidg.cms.engine/?F;1886f97b-43a9-4b16-b197-cc969b6917ba" TargetMode="External"/><Relationship Id="rId9" Type="http://schemas.openxmlformats.org/officeDocument/2006/relationships/hyperlink" Target="http://www.inkubato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4567</Words>
  <Characters>27403</Characters>
  <Application>Microsoft Office Word</Application>
  <DocSecurity>0</DocSecurity>
  <Lines>228</Lines>
  <Paragraphs>63</Paragraphs>
  <ScaleCrop>false</ScaleCrop>
  <Company/>
  <LinksUpToDate>false</LinksUpToDate>
  <CharactersWithSpaces>31907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dc:creator>
  <cp:keywords/>
  <dc:description/>
  <cp:lastModifiedBy>pup</cp:lastModifiedBy>
  <cp:revision>4</cp:revision>
  <dcterms:created xsi:type="dcterms:W3CDTF">2013-05-28T08:12:00Z</dcterms:created>
  <dcterms:modified xsi:type="dcterms:W3CDTF">2013-05-28T09:32:00Z</dcterms:modified>
</cp:coreProperties>
</file>